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left="640"/>
        <w:spacing w:after="0" w:line="215" w:lineRule="auto"/>
        <w:rPr>
          <w:sz w:val="20"/>
          <w:szCs w:val="20"/>
          <w:color w:val="auto"/>
        </w:rPr>
      </w:pPr>
      <w:r>
        <w:rPr>
          <w:rFonts w:ascii="Arial" w:cs="Arial" w:eastAsia="Arial" w:hAnsi="Arial"/>
          <w:sz w:val="25"/>
          <w:szCs w:val="25"/>
          <w:b w:val="1"/>
          <w:bCs w:val="1"/>
          <w:color w:val="auto"/>
        </w:rPr>
        <w:t>SECURITIES AND EXCHANGE COMMISSION</w:t>
      </w:r>
    </w:p>
    <w:p>
      <w:pPr>
        <w:jc w:val="center"/>
        <w:ind w:left="640"/>
        <w:spacing w:after="0" w:line="222" w:lineRule="auto"/>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ind w:left="5560"/>
        <w:spacing w:after="0"/>
        <w:rPr>
          <w:sz w:val="20"/>
          <w:szCs w:val="20"/>
          <w:color w:val="auto"/>
        </w:rPr>
      </w:pPr>
      <w:r>
        <w:rPr>
          <w:rFonts w:ascii="Arial" w:cs="Arial" w:eastAsia="Arial" w:hAnsi="Arial"/>
          <w:sz w:val="11"/>
          <w:szCs w:val="11"/>
          <w:u w:val="single" w:color="auto"/>
          <w:color w:val="auto"/>
        </w:rPr>
        <w:t>_____________</w:t>
      </w:r>
    </w:p>
    <w:p>
      <w:pPr>
        <w:spacing w:after="0" w:line="62" w:lineRule="exact"/>
        <w:rPr>
          <w:sz w:val="24"/>
          <w:szCs w:val="24"/>
          <w:color w:val="auto"/>
        </w:rPr>
      </w:pPr>
    </w:p>
    <w:p>
      <w:pPr>
        <w:jc w:val="center"/>
        <w:ind w:left="640"/>
        <w:spacing w:after="0"/>
        <w:rPr>
          <w:sz w:val="20"/>
          <w:szCs w:val="20"/>
          <w:color w:val="auto"/>
        </w:rPr>
      </w:pPr>
      <w:r>
        <w:rPr>
          <w:rFonts w:ascii="Arial" w:cs="Arial" w:eastAsia="Arial" w:hAnsi="Arial"/>
          <w:sz w:val="25"/>
          <w:szCs w:val="25"/>
          <w:b w:val="1"/>
          <w:bCs w:val="1"/>
          <w:color w:val="auto"/>
        </w:rPr>
        <w:t>FORM 10-Q</w:t>
      </w:r>
    </w:p>
    <w:p>
      <w:pPr>
        <w:spacing w:after="0" w:line="10" w:lineRule="exact"/>
        <w:rPr>
          <w:sz w:val="24"/>
          <w:szCs w:val="24"/>
          <w:color w:val="auto"/>
        </w:rPr>
      </w:pPr>
    </w:p>
    <w:p>
      <w:pPr>
        <w:ind w:left="5560"/>
        <w:spacing w:after="0"/>
        <w:rPr>
          <w:sz w:val="20"/>
          <w:szCs w:val="20"/>
          <w:color w:val="auto"/>
        </w:rPr>
      </w:pPr>
      <w:r>
        <w:rPr>
          <w:rFonts w:ascii="Arial" w:cs="Arial" w:eastAsia="Arial" w:hAnsi="Arial"/>
          <w:sz w:val="11"/>
          <w:szCs w:val="11"/>
          <w:u w:val="single" w:color="auto"/>
          <w:color w:val="auto"/>
        </w:rPr>
        <w:t>_____________</w:t>
      </w:r>
    </w:p>
    <w:p>
      <w:pPr>
        <w:spacing w:after="0" w:line="23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9"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8"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For the quarterly period ended April 30, 2021</w:t>
      </w:r>
    </w:p>
    <w:p>
      <w:pPr>
        <w:spacing w:after="0" w:line="42"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OR</w:t>
      </w:r>
    </w:p>
    <w:p>
      <w:pPr>
        <w:spacing w:after="0" w:line="280"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8" w:lineRule="exact"/>
        <w:rPr>
          <w:sz w:val="24"/>
          <w:szCs w:val="24"/>
          <w:color w:val="auto"/>
        </w:rPr>
      </w:pPr>
    </w:p>
    <w:p>
      <w:pPr>
        <w:ind w:left="4020"/>
        <w:spacing w:after="0"/>
        <w:tabs>
          <w:tab w:leader="none" w:pos="69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3855720</wp:posOffset>
            </wp:positionH>
            <wp:positionV relativeFrom="paragraph">
              <wp:posOffset>635</wp:posOffset>
            </wp:positionV>
            <wp:extent cx="1151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22"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Commission file number: 001-39561</w:t>
      </w:r>
    </w:p>
    <w:p>
      <w:pPr>
        <w:spacing w:after="0" w:line="11" w:lineRule="exact"/>
        <w:rPr>
          <w:sz w:val="24"/>
          <w:szCs w:val="24"/>
          <w:color w:val="auto"/>
        </w:rPr>
      </w:pPr>
    </w:p>
    <w:p>
      <w:pPr>
        <w:ind w:left="5560"/>
        <w:spacing w:after="0"/>
        <w:rPr>
          <w:sz w:val="20"/>
          <w:szCs w:val="20"/>
          <w:color w:val="auto"/>
        </w:rPr>
      </w:pPr>
      <w:r>
        <w:rPr>
          <w:rFonts w:ascii="Arial" w:cs="Arial" w:eastAsia="Arial" w:hAnsi="Arial"/>
          <w:sz w:val="11"/>
          <w:szCs w:val="11"/>
          <w:u w:val="single" w:color="auto"/>
          <w:color w:val="auto"/>
        </w:rPr>
        <w:t>_____________</w:t>
      </w:r>
    </w:p>
    <w:p>
      <w:pPr>
        <w:spacing w:after="0" w:line="315"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232F84"/>
        </w:rPr>
        <w:t>MISSION PRODUCE, INC.</w:t>
      </w:r>
    </w:p>
    <w:p>
      <w:pPr>
        <w:spacing w:after="0" w:line="37"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5360" w:type="dxa"/>
            <w:vAlign w:val="bottom"/>
            <w:gridSpan w:val="3"/>
          </w:tcPr>
          <w:p>
            <w:pPr>
              <w:jc w:val="center"/>
              <w:ind w:right="1471"/>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11"/>
        </w:trPr>
        <w:tc>
          <w:tcPr>
            <w:tcW w:w="2060" w:type="dxa"/>
            <w:vAlign w:val="bottom"/>
          </w:tcPr>
          <w:p>
            <w:pPr>
              <w:spacing w:after="0"/>
              <w:rPr>
                <w:sz w:val="9"/>
                <w:szCs w:val="9"/>
                <w:color w:val="auto"/>
              </w:rPr>
            </w:pPr>
          </w:p>
        </w:tc>
        <w:tc>
          <w:tcPr>
            <w:tcW w:w="230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_____________</w:t>
            </w:r>
          </w:p>
        </w:tc>
        <w:tc>
          <w:tcPr>
            <w:tcW w:w="3060" w:type="dxa"/>
            <w:vAlign w:val="bottom"/>
          </w:tcPr>
          <w:p>
            <w:pPr>
              <w:spacing w:after="0"/>
              <w:rPr>
                <w:sz w:val="9"/>
                <w:szCs w:val="9"/>
                <w:color w:val="auto"/>
              </w:rPr>
            </w:pPr>
          </w:p>
        </w:tc>
      </w:tr>
      <w:tr>
        <w:trPr>
          <w:trHeight w:val="371"/>
        </w:trPr>
        <w:tc>
          <w:tcPr>
            <w:tcW w:w="2060" w:type="dxa"/>
            <w:vAlign w:val="bottom"/>
          </w:tcPr>
          <w:p>
            <w:pPr>
              <w:jc w:val="center"/>
              <w:ind w:right="50"/>
              <w:spacing w:after="0"/>
              <w:rPr>
                <w:sz w:val="20"/>
                <w:szCs w:val="20"/>
                <w:color w:val="auto"/>
              </w:rPr>
            </w:pPr>
            <w:r>
              <w:rPr>
                <w:rFonts w:ascii="Arial" w:cs="Arial" w:eastAsia="Arial" w:hAnsi="Arial"/>
                <w:sz w:val="14"/>
                <w:szCs w:val="14"/>
                <w:b w:val="1"/>
                <w:bCs w:val="1"/>
                <w:color w:val="auto"/>
              </w:rPr>
              <w:t>Delaware</w:t>
            </w:r>
          </w:p>
        </w:tc>
        <w:tc>
          <w:tcPr>
            <w:tcW w:w="15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60" w:type="dxa"/>
            <w:vAlign w:val="bottom"/>
          </w:tcPr>
          <w:p>
            <w:pPr>
              <w:jc w:val="right"/>
              <w:ind w:right="111"/>
              <w:spacing w:after="0"/>
              <w:rPr>
                <w:sz w:val="20"/>
                <w:szCs w:val="20"/>
                <w:color w:val="auto"/>
              </w:rPr>
            </w:pPr>
            <w:r>
              <w:rPr>
                <w:rFonts w:ascii="Arial" w:cs="Arial" w:eastAsia="Arial" w:hAnsi="Arial"/>
                <w:sz w:val="14"/>
                <w:szCs w:val="14"/>
                <w:b w:val="1"/>
                <w:bCs w:val="1"/>
                <w:color w:val="auto"/>
              </w:rPr>
              <w:t>95-3847744</w:t>
            </w:r>
          </w:p>
        </w:tc>
      </w:tr>
      <w:tr>
        <w:trPr>
          <w:trHeight w:val="159"/>
        </w:trPr>
        <w:tc>
          <w:tcPr>
            <w:tcW w:w="2060" w:type="dxa"/>
            <w:vAlign w:val="bottom"/>
          </w:tcPr>
          <w:p>
            <w:pPr>
              <w:jc w:val="center"/>
              <w:ind w:right="50"/>
              <w:spacing w:after="0"/>
              <w:rPr>
                <w:sz w:val="20"/>
                <w:szCs w:val="20"/>
                <w:color w:val="auto"/>
              </w:rPr>
            </w:pPr>
            <w:r>
              <w:rPr>
                <w:rFonts w:ascii="Arial" w:cs="Arial" w:eastAsia="Arial" w:hAnsi="Arial"/>
                <w:sz w:val="13"/>
                <w:szCs w:val="13"/>
                <w:b w:val="1"/>
                <w:bCs w:val="1"/>
                <w:color w:val="auto"/>
              </w:rPr>
              <w:t>(State or Other Jurisdiction of</w:t>
            </w: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60" w:type="dxa"/>
            <w:vAlign w:val="bottom"/>
          </w:tcPr>
          <w:p>
            <w:pPr>
              <w:jc w:val="center"/>
              <w:ind w:left="1851"/>
              <w:spacing w:after="0"/>
              <w:rPr>
                <w:sz w:val="20"/>
                <w:szCs w:val="20"/>
                <w:color w:val="auto"/>
              </w:rPr>
            </w:pPr>
            <w:r>
              <w:rPr>
                <w:rFonts w:ascii="Arial" w:cs="Arial" w:eastAsia="Arial" w:hAnsi="Arial"/>
                <w:sz w:val="13"/>
                <w:szCs w:val="13"/>
                <w:b w:val="1"/>
                <w:bCs w:val="1"/>
                <w:color w:val="auto"/>
              </w:rPr>
              <w:t>(I.R.S. Employer</w:t>
            </w:r>
          </w:p>
        </w:tc>
      </w:tr>
      <w:tr>
        <w:trPr>
          <w:trHeight w:val="192"/>
        </w:trPr>
        <w:tc>
          <w:tcPr>
            <w:tcW w:w="2060" w:type="dxa"/>
            <w:vAlign w:val="bottom"/>
          </w:tcPr>
          <w:p>
            <w:pPr>
              <w:jc w:val="center"/>
              <w:ind w:right="50"/>
              <w:spacing w:after="0"/>
              <w:rPr>
                <w:sz w:val="20"/>
                <w:szCs w:val="20"/>
                <w:color w:val="auto"/>
              </w:rPr>
            </w:pPr>
            <w:r>
              <w:rPr>
                <w:rFonts w:ascii="Arial" w:cs="Arial" w:eastAsia="Arial" w:hAnsi="Arial"/>
                <w:sz w:val="13"/>
                <w:szCs w:val="13"/>
                <w:b w:val="1"/>
                <w:bCs w:val="1"/>
                <w:color w:val="auto"/>
              </w:rPr>
              <w:t>Incorporation or Organization)</w:t>
            </w: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60" w:type="dxa"/>
            <w:vAlign w:val="bottom"/>
          </w:tcPr>
          <w:p>
            <w:pPr>
              <w:jc w:val="center"/>
              <w:ind w:left="1851"/>
              <w:spacing w:after="0"/>
              <w:rPr>
                <w:sz w:val="20"/>
                <w:szCs w:val="20"/>
                <w:color w:val="auto"/>
              </w:rPr>
            </w:pPr>
            <w:r>
              <w:rPr>
                <w:rFonts w:ascii="Arial" w:cs="Arial" w:eastAsia="Arial" w:hAnsi="Arial"/>
                <w:sz w:val="13"/>
                <w:szCs w:val="13"/>
                <w:b w:val="1"/>
                <w:bCs w:val="1"/>
                <w:color w:val="auto"/>
              </w:rPr>
              <w:t>Identification No.)</w:t>
            </w:r>
          </w:p>
        </w:tc>
      </w:tr>
      <w:tr>
        <w:trPr>
          <w:trHeight w:val="298"/>
        </w:trPr>
        <w:tc>
          <w:tcPr>
            <w:tcW w:w="2060" w:type="dxa"/>
            <w:vAlign w:val="bottom"/>
          </w:tcPr>
          <w:p>
            <w:pPr>
              <w:jc w:val="center"/>
              <w:ind w:right="50"/>
              <w:spacing w:after="0"/>
              <w:rPr>
                <w:sz w:val="20"/>
                <w:szCs w:val="20"/>
                <w:color w:val="auto"/>
              </w:rPr>
            </w:pPr>
            <w:r>
              <w:rPr>
                <w:rFonts w:ascii="Arial" w:cs="Arial" w:eastAsia="Arial" w:hAnsi="Arial"/>
                <w:sz w:val="14"/>
                <w:szCs w:val="14"/>
                <w:b w:val="1"/>
                <w:bCs w:val="1"/>
                <w:color w:val="auto"/>
              </w:rPr>
              <w:t>2710 Camino Del Sol</w:t>
            </w:r>
          </w:p>
        </w:tc>
        <w:tc>
          <w:tcPr>
            <w:tcW w:w="536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rPr>
              <w:t>93030</w:t>
            </w:r>
          </w:p>
        </w:tc>
      </w:tr>
      <w:tr>
        <w:trPr>
          <w:trHeight w:val="175"/>
        </w:trPr>
        <w:tc>
          <w:tcPr>
            <w:tcW w:w="2060" w:type="dxa"/>
            <w:vAlign w:val="bottom"/>
          </w:tcPr>
          <w:p>
            <w:pPr>
              <w:jc w:val="center"/>
              <w:ind w:right="50"/>
              <w:spacing w:after="0"/>
              <w:rPr>
                <w:sz w:val="20"/>
                <w:szCs w:val="20"/>
                <w:color w:val="auto"/>
              </w:rPr>
            </w:pPr>
            <w:r>
              <w:rPr>
                <w:rFonts w:ascii="Arial" w:cs="Arial" w:eastAsia="Arial" w:hAnsi="Arial"/>
                <w:sz w:val="14"/>
                <w:szCs w:val="14"/>
                <w:b w:val="1"/>
                <w:bCs w:val="1"/>
                <w:color w:val="auto"/>
              </w:rPr>
              <w:t>Oxnard, California</w:t>
            </w: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60" w:type="dxa"/>
            <w:vAlign w:val="bottom"/>
          </w:tcPr>
          <w:p>
            <w:pPr>
              <w:jc w:val="center"/>
              <w:ind w:left="1851"/>
              <w:spacing w:after="0"/>
              <w:rPr>
                <w:sz w:val="20"/>
                <w:szCs w:val="20"/>
                <w:color w:val="auto"/>
              </w:rPr>
            </w:pPr>
            <w:r>
              <w:rPr>
                <w:rFonts w:ascii="Arial" w:cs="Arial" w:eastAsia="Arial" w:hAnsi="Arial"/>
                <w:sz w:val="13"/>
                <w:szCs w:val="13"/>
                <w:b w:val="1"/>
                <w:bCs w:val="1"/>
                <w:color w:val="auto"/>
              </w:rPr>
              <w:t>(Zip Code)</w:t>
            </w:r>
          </w:p>
        </w:tc>
      </w:tr>
    </w:tbl>
    <w:p>
      <w:pPr>
        <w:ind w:left="166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29"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Registrant’s Telephone Number, Including Area Code: (805) 981-3650</w:t>
      </w:r>
    </w:p>
    <w:p>
      <w:pPr>
        <w:spacing w:after="0" w:line="11" w:lineRule="exact"/>
        <w:rPr>
          <w:sz w:val="24"/>
          <w:szCs w:val="24"/>
          <w:color w:val="auto"/>
        </w:rPr>
      </w:pPr>
    </w:p>
    <w:p>
      <w:pPr>
        <w:ind w:left="5560"/>
        <w:spacing w:after="0"/>
        <w:rPr>
          <w:sz w:val="20"/>
          <w:szCs w:val="20"/>
          <w:color w:val="auto"/>
        </w:rPr>
      </w:pPr>
      <w:r>
        <w:rPr>
          <w:rFonts w:ascii="Arial" w:cs="Arial" w:eastAsia="Arial" w:hAnsi="Arial"/>
          <w:sz w:val="11"/>
          <w:szCs w:val="11"/>
          <w:u w:val="single" w:color="auto"/>
          <w:color w:val="auto"/>
        </w:rPr>
        <w:t>_____________</w:t>
      </w:r>
    </w:p>
    <w:p>
      <w:pPr>
        <w:spacing w:after="0" w:line="80"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39" w:lineRule="exact"/>
        <w:rPr>
          <w:sz w:val="24"/>
          <w:szCs w:val="24"/>
          <w:color w:val="auto"/>
        </w:rPr>
      </w:pPr>
    </w:p>
    <w:tbl>
      <w:tblPr>
        <w:tblLayout w:type="fixed"/>
        <w:tblInd w:w="860" w:type="dxa"/>
        <w:tblCellMar>
          <w:top w:w="0" w:type="dxa"/>
          <w:left w:w="0" w:type="dxa"/>
          <w:bottom w:w="0" w:type="dxa"/>
          <w:right w:w="0" w:type="dxa"/>
        </w:tblCellMar>
      </w:tblPr>
      <w:tr>
        <w:trPr>
          <w:trHeight w:val="189"/>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Common Stock, par value $0.001 per share</w:t>
            </w:r>
          </w:p>
        </w:tc>
        <w:tc>
          <w:tcPr>
            <w:tcW w:w="2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AVO</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200" w:lineRule="exact"/>
        <w:rPr>
          <w:sz w:val="24"/>
          <w:szCs w:val="24"/>
          <w:color w:val="auto"/>
        </w:rPr>
      </w:pPr>
    </w:p>
    <w:p>
      <w:pPr>
        <w:spacing w:after="0" w:line="238" w:lineRule="exact"/>
        <w:rPr>
          <w:sz w:val="24"/>
          <w:szCs w:val="24"/>
          <w:color w:val="auto"/>
        </w:rPr>
      </w:pPr>
    </w:p>
    <w:p>
      <w:pPr>
        <w:ind w:right="160" w:firstLine="441"/>
        <w:spacing w:after="0" w:line="14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 w:lineRule="exact"/>
        <w:rPr>
          <w:sz w:val="24"/>
          <w:szCs w:val="24"/>
          <w:color w:val="auto"/>
        </w:rPr>
      </w:pPr>
    </w:p>
    <w:p>
      <w:pPr>
        <w:ind w:firstLine="441"/>
        <w:spacing w:after="0" w:line="14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 w:lineRule="exact"/>
        <w:rPr>
          <w:sz w:val="24"/>
          <w:szCs w:val="24"/>
          <w:color w:val="auto"/>
        </w:rPr>
      </w:pPr>
    </w:p>
    <w:p>
      <w:pPr>
        <w:ind w:right="260" w:firstLine="441"/>
        <w:spacing w:after="0" w:line="21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8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9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460"/>
              <w:spacing w:after="0"/>
              <w:rPr>
                <w:sz w:val="20"/>
                <w:szCs w:val="20"/>
                <w:color w:val="auto"/>
              </w:rPr>
            </w:pPr>
            <w:r>
              <w:rPr>
                <w:rFonts w:ascii="Arial" w:cs="Arial" w:eastAsia="Arial" w:hAnsi="Arial"/>
                <w:sz w:val="13"/>
                <w:szCs w:val="13"/>
                <w:color w:val="auto"/>
              </w:rPr>
              <w:t>Accelerated filer</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820" w:type="dxa"/>
            <w:vAlign w:val="bottom"/>
          </w:tcPr>
          <w:p>
            <w:pPr>
              <w:spacing w:after="0"/>
              <w:rPr>
                <w:sz w:val="20"/>
                <w:szCs w:val="20"/>
                <w:color w:val="auto"/>
              </w:rPr>
            </w:pPr>
            <w:r>
              <w:rPr>
                <w:rFonts w:ascii="Arial" w:cs="Arial" w:eastAsia="Arial" w:hAnsi="Arial"/>
                <w:sz w:val="13"/>
                <w:szCs w:val="13"/>
                <w:color w:val="auto"/>
              </w:rPr>
              <w:t>Non-accelerated filer</w:t>
            </w:r>
          </w:p>
        </w:tc>
        <w:tc>
          <w:tcPr>
            <w:tcW w:w="29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460"/>
              <w:spacing w:after="0"/>
              <w:rPr>
                <w:sz w:val="20"/>
                <w:szCs w:val="20"/>
                <w:color w:val="auto"/>
              </w:rPr>
            </w:pPr>
            <w:r>
              <w:rPr>
                <w:rFonts w:ascii="Arial" w:cs="Arial" w:eastAsia="Arial" w:hAnsi="Arial"/>
                <w:sz w:val="13"/>
                <w:szCs w:val="13"/>
                <w:color w:val="auto"/>
              </w:rPr>
              <w:t>Smaller reporting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8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29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spacing w:after="0"/>
              <w:rPr>
                <w:sz w:val="17"/>
                <w:szCs w:val="17"/>
                <w:color w:val="auto"/>
              </w:rPr>
            </w:pPr>
          </w:p>
        </w:tc>
        <w:tc>
          <w:tcPr>
            <w:tcW w:w="440" w:type="dxa"/>
            <w:vAlign w:val="bottom"/>
          </w:tcPr>
          <w:p>
            <w:pPr>
              <w:spacing w:after="0"/>
              <w:rPr>
                <w:sz w:val="17"/>
                <w:szCs w:val="17"/>
                <w:color w:val="auto"/>
              </w:rPr>
            </w:pPr>
          </w:p>
        </w:tc>
      </w:tr>
    </w:tbl>
    <w:p>
      <w:pPr>
        <w:spacing w:after="0" w:line="334" w:lineRule="exact"/>
        <w:rPr>
          <w:sz w:val="24"/>
          <w:szCs w:val="24"/>
          <w:color w:val="auto"/>
        </w:rPr>
      </w:pPr>
    </w:p>
    <w:p>
      <w:pPr>
        <w:ind w:right="500" w:firstLine="441"/>
        <w:spacing w:after="0" w:line="14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440" w:right="4120"/>
        <w:spacing w:after="0" w:line="16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June 3, 2021, the registrant had 70,609,255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014" w:right="419"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25"/>
          <w:szCs w:val="25"/>
          <w:b w:val="1"/>
          <w:bCs w:val="1"/>
          <w:color w:val="232F84"/>
        </w:rPr>
        <w:t>MISSION PRODUCE, INC.</w:t>
      </w:r>
    </w:p>
    <w:p>
      <w:pPr>
        <w:spacing w:after="0" w:line="91"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232F8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39"/>
        <w:spacing w:after="0"/>
        <w:rPr>
          <w:sz w:val="20"/>
          <w:szCs w:val="20"/>
          <w:color w:val="auto"/>
        </w:rPr>
      </w:pPr>
      <w:r>
        <w:rPr>
          <w:rFonts w:ascii="Arial" w:cs="Arial" w:eastAsia="Arial" w:hAnsi="Arial"/>
          <w:sz w:val="20"/>
          <w:szCs w:val="20"/>
          <w:b w:val="1"/>
          <w:bCs w:val="1"/>
          <w:color w:val="232F84"/>
        </w:rPr>
        <w:t>FORM 10-Q</w:t>
      </w:r>
    </w:p>
    <w:p>
      <w:pPr>
        <w:spacing w:after="0" w:line="216" w:lineRule="exact"/>
        <w:rPr>
          <w:sz w:val="20"/>
          <w:szCs w:val="20"/>
          <w:color w:val="auto"/>
        </w:rPr>
      </w:pPr>
    </w:p>
    <w:p>
      <w:pPr>
        <w:jc w:val="center"/>
        <w:ind w:right="-639"/>
        <w:spacing w:after="0"/>
        <w:rPr>
          <w:sz w:val="20"/>
          <w:szCs w:val="20"/>
          <w:color w:val="auto"/>
        </w:rPr>
      </w:pPr>
      <w:r>
        <w:rPr>
          <w:rFonts w:ascii="Arial" w:cs="Arial" w:eastAsia="Arial" w:hAnsi="Arial"/>
          <w:sz w:val="20"/>
          <w:szCs w:val="20"/>
          <w:b w:val="1"/>
          <w:bCs w:val="1"/>
          <w:color w:val="232F84"/>
        </w:rPr>
        <w:t>FISCAL SECOND QUARTER 2021</w:t>
      </w:r>
    </w:p>
    <w:p>
      <w:pPr>
        <w:spacing w:after="0" w:line="216" w:lineRule="exact"/>
        <w:rPr>
          <w:sz w:val="20"/>
          <w:szCs w:val="20"/>
          <w:color w:val="auto"/>
        </w:rPr>
      </w:pPr>
    </w:p>
    <w:p>
      <w:pPr>
        <w:jc w:val="center"/>
        <w:ind w:right="-639"/>
        <w:spacing w:after="0"/>
        <w:rPr>
          <w:sz w:val="20"/>
          <w:szCs w:val="20"/>
          <w:color w:val="auto"/>
        </w:rPr>
      </w:pPr>
      <w:r>
        <w:rPr>
          <w:rFonts w:ascii="Arial" w:cs="Arial" w:eastAsia="Arial" w:hAnsi="Arial"/>
          <w:sz w:val="20"/>
          <w:szCs w:val="20"/>
          <w:b w:val="1"/>
          <w:bCs w:val="1"/>
          <w:color w:val="232F84"/>
        </w:rPr>
        <w:t>INDEX</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gridSpan w:val="22"/>
          </w:tcPr>
          <w:p>
            <w:pPr>
              <w:spacing w:after="0"/>
              <w:rPr>
                <w:rFonts w:ascii="Arial" w:cs="Arial" w:eastAsia="Arial" w:hAnsi="Arial"/>
                <w:sz w:val="14"/>
                <w:szCs w:val="14"/>
                <w:color w:val="0000FF"/>
              </w:rPr>
            </w:pPr>
            <w:hyperlink w:anchor="page24">
              <w:r>
                <w:rPr>
                  <w:rFonts w:ascii="Arial" w:cs="Arial" w:eastAsia="Arial" w:hAnsi="Arial"/>
                  <w:sz w:val="14"/>
                  <w:szCs w:val="14"/>
                  <w:color w:val="0000FF"/>
                </w:rPr>
                <w:t>PART I- FINANCIAL INFORMATION</w:t>
              </w:r>
            </w:hyperlink>
          </w:p>
        </w:tc>
        <w:tc>
          <w:tcPr>
            <w:tcW w:w="160" w:type="dxa"/>
            <w:vAlign w:val="bottom"/>
            <w:gridSpan w:val="2"/>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5</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4"/>
        </w:trPr>
        <w:tc>
          <w:tcPr>
            <w:tcW w:w="100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8960" w:type="dxa"/>
            <w:vAlign w:val="bottom"/>
            <w:gridSpan w:val="19"/>
          </w:tcPr>
          <w:p>
            <w:pPr>
              <w:spacing w:after="0"/>
              <w:rPr>
                <w:sz w:val="20"/>
                <w:szCs w:val="20"/>
                <w:color w:val="auto"/>
              </w:rPr>
            </w:pPr>
            <w:r>
              <w:rPr>
                <w:rFonts w:ascii="Arial" w:cs="Arial" w:eastAsia="Arial" w:hAnsi="Arial"/>
                <w:sz w:val="14"/>
                <w:szCs w:val="14"/>
                <w:color w:val="0000FF"/>
              </w:rPr>
              <w:t>Financial Statements</w:t>
            </w:r>
          </w:p>
        </w:tc>
        <w:tc>
          <w:tcPr>
            <w:tcW w:w="160" w:type="dxa"/>
            <w:vAlign w:val="bottom"/>
            <w:gridSpan w:val="2"/>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gridSpan w:val="11"/>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Condensed Consolidated Balance Sheets (Unaudited)</w:t>
              </w:r>
            </w:hyperlink>
          </w:p>
        </w:tc>
        <w:tc>
          <w:tcPr>
            <w:tcW w:w="5500" w:type="dxa"/>
            <w:vAlign w:val="bottom"/>
            <w:gridSpan w:val="8"/>
          </w:tcPr>
          <w:p>
            <w:pPr>
              <w:spacing w:after="0"/>
              <w:rPr>
                <w:sz w:val="17"/>
                <w:szCs w:val="17"/>
                <w:color w:val="auto"/>
              </w:rPr>
            </w:pPr>
          </w:p>
        </w:tc>
        <w:tc>
          <w:tcPr>
            <w:tcW w:w="160" w:type="dxa"/>
            <w:vAlign w:val="bottom"/>
            <w:gridSpan w:val="2"/>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960" w:type="dxa"/>
            <w:vAlign w:val="bottom"/>
            <w:gridSpan w:val="19"/>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 xml:space="preserve">Condensed Consolidated Statements of </w:t>
              </w:r>
            </w:hyperlink>
            <w:r>
              <w:rPr>
                <w:rFonts w:ascii="Arial" w:cs="Arial" w:eastAsia="Arial" w:hAnsi="Arial"/>
                <w:sz w:val="14"/>
                <w:szCs w:val="14"/>
                <w:color w:val="3051F2"/>
              </w:rPr>
              <w:t>Comprehensive</w:t>
            </w:r>
            <w:r>
              <w:rPr>
                <w:rFonts w:ascii="Arial" w:cs="Arial" w:eastAsia="Arial" w:hAnsi="Arial"/>
                <w:sz w:val="14"/>
                <w:szCs w:val="14"/>
                <w:color w:val="0000FF"/>
              </w:rPr>
              <w:t xml:space="preserve"> </w:t>
            </w:r>
            <w:r>
              <w:rPr>
                <w:rFonts w:ascii="Arial" w:cs="Arial" w:eastAsia="Arial" w:hAnsi="Arial"/>
                <w:sz w:val="14"/>
                <w:szCs w:val="14"/>
                <w:color w:val="3051F2"/>
              </w:rPr>
              <w:t>Income (Loss) (Unaudited)</w:t>
            </w:r>
          </w:p>
        </w:tc>
        <w:tc>
          <w:tcPr>
            <w:tcW w:w="160" w:type="dxa"/>
            <w:vAlign w:val="bottom"/>
            <w:gridSpan w:val="2"/>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6</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960" w:type="dxa"/>
            <w:vAlign w:val="bottom"/>
            <w:gridSpan w:val="19"/>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Condensed Consolidated Statements of Cash Flows (Unaudited)</w:t>
              </w:r>
            </w:hyperlink>
          </w:p>
        </w:tc>
        <w:tc>
          <w:tcPr>
            <w:tcW w:w="160" w:type="dxa"/>
            <w:vAlign w:val="bottom"/>
            <w:gridSpan w:val="2"/>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8</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960" w:type="dxa"/>
            <w:vAlign w:val="bottom"/>
            <w:gridSpan w:val="19"/>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Condensed Consolidated Statements of Shareholders’ Equity (Unaudited)</w:t>
              </w:r>
            </w:hyperlink>
          </w:p>
        </w:tc>
        <w:tc>
          <w:tcPr>
            <w:tcW w:w="160" w:type="dxa"/>
            <w:vAlign w:val="bottom"/>
            <w:gridSpan w:val="2"/>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80" w:type="dxa"/>
            <w:vAlign w:val="bottom"/>
            <w:tcBorders>
              <w:bottom w:val="single" w:sz="8" w:color="0000FF"/>
            </w:tcBorders>
            <w:gridSpan w:val="15"/>
          </w:tcPr>
          <w:p>
            <w:pPr>
              <w:spacing w:after="0"/>
              <w:rPr>
                <w:rFonts w:ascii="Arial" w:cs="Arial" w:eastAsia="Arial" w:hAnsi="Arial"/>
                <w:sz w:val="14"/>
                <w:szCs w:val="14"/>
                <w:color w:val="0000FF"/>
              </w:rPr>
            </w:pPr>
            <w:hyperlink w:anchor="page9">
              <w:r>
                <w:rPr>
                  <w:rFonts w:ascii="Arial" w:cs="Arial" w:eastAsia="Arial" w:hAnsi="Arial"/>
                  <w:sz w:val="14"/>
                  <w:szCs w:val="14"/>
                  <w:color w:val="0000FF"/>
                </w:rPr>
                <w:t>Notes to Unaudited Condensed Consolidated Financial Statements</w:t>
              </w:r>
            </w:hyperlink>
          </w:p>
        </w:tc>
        <w:tc>
          <w:tcPr>
            <w:tcW w:w="420" w:type="dxa"/>
            <w:vAlign w:val="bottom"/>
          </w:tcPr>
          <w:p>
            <w:pPr>
              <w:spacing w:after="0"/>
              <w:rPr>
                <w:sz w:val="17"/>
                <w:szCs w:val="17"/>
                <w:color w:val="auto"/>
              </w:rPr>
            </w:pPr>
          </w:p>
        </w:tc>
        <w:tc>
          <w:tcPr>
            <w:tcW w:w="4260" w:type="dxa"/>
            <w:vAlign w:val="bottom"/>
            <w:gridSpan w:val="3"/>
          </w:tcPr>
          <w:p>
            <w:pPr>
              <w:spacing w:after="0"/>
              <w:rPr>
                <w:sz w:val="17"/>
                <w:szCs w:val="17"/>
                <w:color w:val="auto"/>
              </w:rPr>
            </w:pPr>
          </w:p>
        </w:tc>
        <w:tc>
          <w:tcPr>
            <w:tcW w:w="160" w:type="dxa"/>
            <w:vAlign w:val="bottom"/>
            <w:tcBorders>
              <w:bottom w:val="single" w:sz="8" w:color="0000FF"/>
            </w:tcBorders>
            <w:gridSpan w:val="2"/>
          </w:tcPr>
          <w:p>
            <w:pPr>
              <w:spacing w:after="0"/>
              <w:rPr>
                <w:rFonts w:ascii="Arial" w:cs="Arial" w:eastAsia="Arial" w:hAnsi="Arial"/>
                <w:sz w:val="14"/>
                <w:szCs w:val="14"/>
                <w:color w:val="0000FF"/>
                <w:w w:val="89"/>
              </w:rPr>
            </w:pPr>
            <w:hyperlink w:anchor="page9">
              <w:r>
                <w:rPr>
                  <w:rFonts w:ascii="Arial" w:cs="Arial" w:eastAsia="Arial" w:hAnsi="Arial"/>
                  <w:sz w:val="14"/>
                  <w:szCs w:val="14"/>
                  <w:color w:val="0000FF"/>
                  <w:w w:val="89"/>
                </w:rPr>
                <w:t>10</w:t>
              </w:r>
            </w:hyperlink>
          </w:p>
        </w:tc>
      </w:tr>
      <w:tr>
        <w:trPr>
          <w:trHeight w:val="196"/>
        </w:trPr>
        <w:tc>
          <w:tcPr>
            <w:tcW w:w="1000" w:type="dxa"/>
            <w:vAlign w:val="bottom"/>
            <w:gridSpan w:val="3"/>
          </w:tcPr>
          <w:p>
            <w:pPr>
              <w:spacing w:after="0"/>
              <w:rPr>
                <w:rFonts w:ascii="Arial" w:cs="Arial" w:eastAsia="Arial" w:hAnsi="Arial"/>
                <w:sz w:val="14"/>
                <w:szCs w:val="14"/>
                <w:color w:val="0000FF"/>
              </w:rPr>
            </w:pPr>
            <w:hyperlink w:anchor="page16">
              <w:r>
                <w:rPr>
                  <w:rFonts w:ascii="Arial" w:cs="Arial" w:eastAsia="Arial" w:hAnsi="Arial"/>
                  <w:sz w:val="14"/>
                  <w:szCs w:val="14"/>
                  <w:color w:val="0000FF"/>
                </w:rPr>
                <w:t>Item 2.</w:t>
              </w:r>
            </w:hyperlink>
          </w:p>
        </w:tc>
        <w:tc>
          <w:tcPr>
            <w:tcW w:w="8960" w:type="dxa"/>
            <w:vAlign w:val="bottom"/>
            <w:gridSpan w:val="19"/>
          </w:tcPr>
          <w:p>
            <w:pPr>
              <w:spacing w:after="0"/>
              <w:rPr>
                <w:rFonts w:ascii="Arial" w:cs="Arial" w:eastAsia="Arial" w:hAnsi="Arial"/>
                <w:sz w:val="14"/>
                <w:szCs w:val="14"/>
                <w:color w:val="0000FF"/>
              </w:rPr>
            </w:pPr>
            <w:hyperlink w:anchor="page16">
              <w:r>
                <w:rPr>
                  <w:rFonts w:ascii="Arial" w:cs="Arial" w:eastAsia="Arial" w:hAnsi="Arial"/>
                  <w:sz w:val="14"/>
                  <w:szCs w:val="14"/>
                  <w:color w:val="0000FF"/>
                </w:rPr>
                <w:t>Management's Discussion and Analysis of Financial Condition and Results of Operations</w:t>
              </w:r>
            </w:hyperlink>
          </w:p>
        </w:tc>
        <w:tc>
          <w:tcPr>
            <w:tcW w:w="160" w:type="dxa"/>
            <w:vAlign w:val="bottom"/>
            <w:gridSpan w:val="2"/>
          </w:tcPr>
          <w:p>
            <w:pPr>
              <w:spacing w:after="0"/>
              <w:rPr>
                <w:rFonts w:ascii="Arial" w:cs="Arial" w:eastAsia="Arial" w:hAnsi="Arial"/>
                <w:sz w:val="14"/>
                <w:szCs w:val="14"/>
                <w:color w:val="0000FF"/>
                <w:w w:val="89"/>
              </w:rPr>
            </w:pPr>
            <w:hyperlink w:anchor="page16">
              <w:r>
                <w:rPr>
                  <w:rFonts w:ascii="Arial" w:cs="Arial" w:eastAsia="Arial" w:hAnsi="Arial"/>
                  <w:sz w:val="14"/>
                  <w:szCs w:val="14"/>
                  <w:color w:val="0000FF"/>
                  <w:w w:val="89"/>
                </w:rPr>
                <w:t>17</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0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8960" w:type="dxa"/>
            <w:vAlign w:val="bottom"/>
            <w:gridSpan w:val="19"/>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60" w:type="dxa"/>
            <w:vAlign w:val="bottom"/>
            <w:gridSpan w:val="2"/>
          </w:tcPr>
          <w:p>
            <w:pPr>
              <w:spacing w:after="0"/>
              <w:rPr>
                <w:rFonts w:ascii="Arial" w:cs="Arial" w:eastAsia="Arial" w:hAnsi="Arial"/>
                <w:sz w:val="14"/>
                <w:szCs w:val="14"/>
                <w:color w:val="0000FF"/>
                <w:w w:val="89"/>
              </w:rPr>
            </w:pPr>
            <w:hyperlink w:anchor="page24">
              <w:r>
                <w:rPr>
                  <w:rFonts w:ascii="Arial" w:cs="Arial" w:eastAsia="Arial" w:hAnsi="Arial"/>
                  <w:sz w:val="14"/>
                  <w:szCs w:val="14"/>
                  <w:color w:val="0000FF"/>
                  <w:w w:val="89"/>
                </w:rPr>
                <w:t>24</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0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8960" w:type="dxa"/>
            <w:vAlign w:val="bottom"/>
            <w:gridSpan w:val="19"/>
          </w:tcPr>
          <w:p>
            <w:pPr>
              <w:spacing w:after="0"/>
              <w:rPr>
                <w:sz w:val="20"/>
                <w:szCs w:val="20"/>
                <w:color w:val="auto"/>
              </w:rPr>
            </w:pPr>
            <w:r>
              <w:rPr>
                <w:rFonts w:ascii="Arial" w:cs="Arial" w:eastAsia="Arial" w:hAnsi="Arial"/>
                <w:sz w:val="14"/>
                <w:szCs w:val="14"/>
                <w:color w:val="0000FF"/>
              </w:rPr>
              <w:t>Controls and Procedures</w:t>
            </w:r>
          </w:p>
        </w:tc>
        <w:tc>
          <w:tcPr>
            <w:tcW w:w="160" w:type="dxa"/>
            <w:vAlign w:val="bottom"/>
            <w:gridSpan w:val="2"/>
          </w:tcPr>
          <w:p>
            <w:pPr>
              <w:spacing w:after="0"/>
              <w:rPr>
                <w:rFonts w:ascii="Arial" w:cs="Arial" w:eastAsia="Arial" w:hAnsi="Arial"/>
                <w:sz w:val="14"/>
                <w:szCs w:val="14"/>
                <w:color w:val="0000FF"/>
                <w:w w:val="89"/>
              </w:rPr>
            </w:pPr>
            <w:hyperlink w:anchor="page24">
              <w:r>
                <w:rPr>
                  <w:rFonts w:ascii="Arial" w:cs="Arial" w:eastAsia="Arial" w:hAnsi="Arial"/>
                  <w:sz w:val="14"/>
                  <w:szCs w:val="14"/>
                  <w:color w:val="0000FF"/>
                  <w:w w:val="89"/>
                </w:rPr>
                <w:t>24</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66"/>
        </w:trPr>
        <w:tc>
          <w:tcPr>
            <w:tcW w:w="2120" w:type="dxa"/>
            <w:vAlign w:val="bottom"/>
            <w:tcBorders>
              <w:bottom w:val="single" w:sz="8" w:color="0000FF"/>
            </w:tcBorders>
            <w:gridSpan w:val="7"/>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PART II- OTHER INFORMATION</w:t>
              </w:r>
            </w:hyperlink>
          </w:p>
        </w:tc>
        <w:tc>
          <w:tcPr>
            <w:tcW w:w="7840" w:type="dxa"/>
            <w:vAlign w:val="bottom"/>
            <w:gridSpan w:val="15"/>
          </w:tcPr>
          <w:p>
            <w:pPr>
              <w:spacing w:after="0"/>
              <w:rPr>
                <w:sz w:val="24"/>
                <w:szCs w:val="24"/>
                <w:color w:val="auto"/>
              </w:rPr>
            </w:pPr>
          </w:p>
        </w:tc>
        <w:tc>
          <w:tcPr>
            <w:tcW w:w="160" w:type="dxa"/>
            <w:vAlign w:val="bottom"/>
            <w:tcBorders>
              <w:bottom w:val="single" w:sz="8" w:color="0000FF"/>
            </w:tcBorders>
            <w:gridSpan w:val="2"/>
          </w:tcPr>
          <w:p>
            <w:pPr>
              <w:spacing w:after="0"/>
              <w:rPr>
                <w:rFonts w:ascii="Arial" w:cs="Arial" w:eastAsia="Arial" w:hAnsi="Arial"/>
                <w:sz w:val="14"/>
                <w:szCs w:val="14"/>
                <w:color w:val="0000FF"/>
                <w:w w:val="89"/>
              </w:rPr>
            </w:pPr>
            <w:hyperlink w:anchor="page24">
              <w:r>
                <w:rPr>
                  <w:rFonts w:ascii="Arial" w:cs="Arial" w:eastAsia="Arial" w:hAnsi="Arial"/>
                  <w:sz w:val="14"/>
                  <w:szCs w:val="14"/>
                  <w:color w:val="0000FF"/>
                  <w:w w:val="89"/>
                </w:rPr>
                <w:t>25</w:t>
              </w:r>
            </w:hyperlink>
          </w:p>
        </w:tc>
      </w:tr>
      <w:tr>
        <w:trPr>
          <w:trHeight w:val="344"/>
        </w:trPr>
        <w:tc>
          <w:tcPr>
            <w:tcW w:w="540" w:type="dxa"/>
            <w:vAlign w:val="bottom"/>
            <w:tcBorders>
              <w:bottom w:val="single" w:sz="8" w:color="0000FF"/>
            </w:tcBorders>
            <w:gridSpan w:val="2"/>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 1.</w:t>
              </w:r>
            </w:hyperlink>
          </w:p>
        </w:tc>
        <w:tc>
          <w:tcPr>
            <w:tcW w:w="460" w:type="dxa"/>
            <w:vAlign w:val="bottom"/>
          </w:tcPr>
          <w:p>
            <w:pPr>
              <w:spacing w:after="0"/>
              <w:rPr>
                <w:sz w:val="24"/>
                <w:szCs w:val="24"/>
                <w:color w:val="auto"/>
              </w:rPr>
            </w:pPr>
          </w:p>
        </w:tc>
        <w:tc>
          <w:tcPr>
            <w:tcW w:w="1200" w:type="dxa"/>
            <w:vAlign w:val="bottom"/>
            <w:tcBorders>
              <w:bottom w:val="single" w:sz="8" w:color="0000FF"/>
            </w:tcBorders>
            <w:gridSpan w:val="5"/>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Legal Proceedings</w:t>
              </w:r>
            </w:hyperlink>
          </w:p>
        </w:tc>
        <w:tc>
          <w:tcPr>
            <w:tcW w:w="7760" w:type="dxa"/>
            <w:vAlign w:val="bottom"/>
            <w:gridSpan w:val="14"/>
          </w:tcPr>
          <w:p>
            <w:pPr>
              <w:spacing w:after="0"/>
              <w:rPr>
                <w:sz w:val="24"/>
                <w:szCs w:val="24"/>
                <w:color w:val="auto"/>
              </w:rPr>
            </w:pPr>
          </w:p>
        </w:tc>
        <w:tc>
          <w:tcPr>
            <w:tcW w:w="160" w:type="dxa"/>
            <w:vAlign w:val="bottom"/>
            <w:tcBorders>
              <w:bottom w:val="single" w:sz="8" w:color="0000FF"/>
            </w:tcBorders>
            <w:gridSpan w:val="2"/>
          </w:tcPr>
          <w:p>
            <w:pPr>
              <w:spacing w:after="0"/>
              <w:rPr>
                <w:rFonts w:ascii="Arial" w:cs="Arial" w:eastAsia="Arial" w:hAnsi="Arial"/>
                <w:sz w:val="14"/>
                <w:szCs w:val="14"/>
                <w:color w:val="0000FF"/>
                <w:w w:val="89"/>
              </w:rPr>
            </w:pPr>
            <w:hyperlink w:anchor="page25">
              <w:r>
                <w:rPr>
                  <w:rFonts w:ascii="Arial" w:cs="Arial" w:eastAsia="Arial" w:hAnsi="Arial"/>
                  <w:sz w:val="14"/>
                  <w:szCs w:val="14"/>
                  <w:color w:val="0000FF"/>
                  <w:w w:val="89"/>
                </w:rPr>
                <w:t>25</w:t>
              </w:r>
            </w:hyperlink>
          </w:p>
        </w:tc>
      </w:tr>
      <w:tr>
        <w:trPr>
          <w:trHeight w:val="196"/>
        </w:trPr>
        <w:tc>
          <w:tcPr>
            <w:tcW w:w="540" w:type="dxa"/>
            <w:vAlign w:val="bottom"/>
            <w:gridSpan w:val="2"/>
          </w:tcPr>
          <w:p>
            <w:pPr>
              <w:spacing w:after="0"/>
              <w:rPr>
                <w:rFonts w:ascii="Arial" w:cs="Arial" w:eastAsia="Arial" w:hAnsi="Arial"/>
                <w:sz w:val="14"/>
                <w:szCs w:val="14"/>
                <w:color w:val="0000FF"/>
                <w:w w:val="99"/>
              </w:rPr>
            </w:pPr>
            <w:hyperlink w:anchor="page25">
              <w:r>
                <w:rPr>
                  <w:rFonts w:ascii="Arial" w:cs="Arial" w:eastAsia="Arial" w:hAnsi="Arial"/>
                  <w:sz w:val="14"/>
                  <w:szCs w:val="14"/>
                  <w:color w:val="0000FF"/>
                  <w:w w:val="99"/>
                </w:rPr>
                <w:t>Item 1A.</w:t>
              </w:r>
            </w:hyperlink>
          </w:p>
        </w:tc>
        <w:tc>
          <w:tcPr>
            <w:tcW w:w="460" w:type="dxa"/>
            <w:vAlign w:val="bottom"/>
          </w:tcPr>
          <w:p>
            <w:pPr>
              <w:spacing w:after="0"/>
              <w:rPr>
                <w:sz w:val="17"/>
                <w:szCs w:val="17"/>
                <w:color w:val="auto"/>
              </w:rPr>
            </w:pPr>
          </w:p>
        </w:tc>
        <w:tc>
          <w:tcPr>
            <w:tcW w:w="8960" w:type="dxa"/>
            <w:vAlign w:val="bottom"/>
            <w:gridSpan w:val="19"/>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Risk Factors</w:t>
              </w:r>
            </w:hyperlink>
          </w:p>
        </w:tc>
        <w:tc>
          <w:tcPr>
            <w:tcW w:w="160" w:type="dxa"/>
            <w:vAlign w:val="bottom"/>
            <w:gridSpan w:val="2"/>
          </w:tcPr>
          <w:p>
            <w:pPr>
              <w:spacing w:after="0"/>
              <w:rPr>
                <w:rFonts w:ascii="Arial" w:cs="Arial" w:eastAsia="Arial" w:hAnsi="Arial"/>
                <w:sz w:val="14"/>
                <w:szCs w:val="14"/>
                <w:color w:val="0000FF"/>
                <w:w w:val="89"/>
              </w:rPr>
            </w:pPr>
            <w:hyperlink w:anchor="page25">
              <w:r>
                <w:rPr>
                  <w:rFonts w:ascii="Arial" w:cs="Arial" w:eastAsia="Arial" w:hAnsi="Arial"/>
                  <w:sz w:val="14"/>
                  <w:szCs w:val="14"/>
                  <w:color w:val="0000FF"/>
                  <w:w w:val="89"/>
                </w:rPr>
                <w:t>25</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540" w:type="dxa"/>
            <w:vAlign w:val="bottom"/>
            <w:gridSpan w:val="2"/>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 2.</w:t>
              </w:r>
            </w:hyperlink>
          </w:p>
        </w:tc>
        <w:tc>
          <w:tcPr>
            <w:tcW w:w="460" w:type="dxa"/>
            <w:vAlign w:val="bottom"/>
          </w:tcPr>
          <w:p>
            <w:pPr>
              <w:spacing w:after="0"/>
              <w:rPr>
                <w:sz w:val="17"/>
                <w:szCs w:val="17"/>
                <w:color w:val="auto"/>
              </w:rPr>
            </w:pPr>
          </w:p>
        </w:tc>
        <w:tc>
          <w:tcPr>
            <w:tcW w:w="8960" w:type="dxa"/>
            <w:vAlign w:val="bottom"/>
            <w:gridSpan w:val="19"/>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Unregistered Sales of Equity Securities and Use of Proceeds</w:t>
              </w:r>
            </w:hyperlink>
          </w:p>
        </w:tc>
        <w:tc>
          <w:tcPr>
            <w:tcW w:w="160" w:type="dxa"/>
            <w:vAlign w:val="bottom"/>
            <w:gridSpan w:val="2"/>
          </w:tcPr>
          <w:p>
            <w:pPr>
              <w:spacing w:after="0"/>
              <w:rPr>
                <w:rFonts w:ascii="Arial" w:cs="Arial" w:eastAsia="Arial" w:hAnsi="Arial"/>
                <w:sz w:val="14"/>
                <w:szCs w:val="14"/>
                <w:color w:val="0000FF"/>
                <w:w w:val="89"/>
              </w:rPr>
            </w:pPr>
            <w:hyperlink w:anchor="page25">
              <w:r>
                <w:rPr>
                  <w:rFonts w:ascii="Arial" w:cs="Arial" w:eastAsia="Arial" w:hAnsi="Arial"/>
                  <w:sz w:val="14"/>
                  <w:szCs w:val="14"/>
                  <w:color w:val="0000FF"/>
                  <w:w w:val="89"/>
                </w:rPr>
                <w:t>25</w:t>
              </w:r>
            </w:hyperlink>
          </w:p>
        </w:tc>
      </w:tr>
      <w:tr>
        <w:trPr>
          <w:trHeight w:val="20"/>
        </w:trPr>
        <w:tc>
          <w:tcPr>
            <w:tcW w:w="4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00" w:type="dxa"/>
            <w:vAlign w:val="bottom"/>
            <w:gridSpan w:val="3"/>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 3.</w:t>
              </w:r>
            </w:hyperlink>
          </w:p>
        </w:tc>
        <w:tc>
          <w:tcPr>
            <w:tcW w:w="8960" w:type="dxa"/>
            <w:vAlign w:val="bottom"/>
            <w:gridSpan w:val="19"/>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Defaults Upon Senior Securities</w:t>
              </w:r>
            </w:hyperlink>
          </w:p>
        </w:tc>
        <w:tc>
          <w:tcPr>
            <w:tcW w:w="160" w:type="dxa"/>
            <w:vAlign w:val="bottom"/>
            <w:gridSpan w:val="2"/>
          </w:tcPr>
          <w:p>
            <w:pPr>
              <w:spacing w:after="0"/>
              <w:rPr>
                <w:rFonts w:ascii="Arial" w:cs="Arial" w:eastAsia="Arial" w:hAnsi="Arial"/>
                <w:sz w:val="14"/>
                <w:szCs w:val="14"/>
                <w:color w:val="0000FF"/>
                <w:w w:val="89"/>
              </w:rPr>
            </w:pPr>
            <w:hyperlink w:anchor="page25">
              <w:r>
                <w:rPr>
                  <w:rFonts w:ascii="Arial" w:cs="Arial" w:eastAsia="Arial" w:hAnsi="Arial"/>
                  <w:sz w:val="14"/>
                  <w:szCs w:val="14"/>
                  <w:color w:val="0000FF"/>
                  <w:w w:val="89"/>
                </w:rPr>
                <w:t>25</w:t>
              </w:r>
            </w:hyperlink>
          </w:p>
        </w:tc>
      </w:tr>
      <w:tr>
        <w:trPr>
          <w:trHeight w:val="20"/>
        </w:trPr>
        <w:tc>
          <w:tcPr>
            <w:tcW w:w="4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00" w:type="dxa"/>
            <w:vAlign w:val="bottom"/>
            <w:gridSpan w:val="3"/>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 4.</w:t>
              </w:r>
            </w:hyperlink>
          </w:p>
        </w:tc>
        <w:tc>
          <w:tcPr>
            <w:tcW w:w="8960" w:type="dxa"/>
            <w:vAlign w:val="bottom"/>
            <w:gridSpan w:val="19"/>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Mine Safety Disclosures</w:t>
              </w:r>
            </w:hyperlink>
          </w:p>
        </w:tc>
        <w:tc>
          <w:tcPr>
            <w:tcW w:w="160" w:type="dxa"/>
            <w:vAlign w:val="bottom"/>
            <w:gridSpan w:val="2"/>
          </w:tcPr>
          <w:p>
            <w:pPr>
              <w:spacing w:after="0"/>
              <w:rPr>
                <w:rFonts w:ascii="Arial" w:cs="Arial" w:eastAsia="Arial" w:hAnsi="Arial"/>
                <w:sz w:val="14"/>
                <w:szCs w:val="14"/>
                <w:color w:val="0000FF"/>
                <w:w w:val="89"/>
              </w:rPr>
            </w:pPr>
            <w:hyperlink w:anchor="page25">
              <w:r>
                <w:rPr>
                  <w:rFonts w:ascii="Arial" w:cs="Arial" w:eastAsia="Arial" w:hAnsi="Arial"/>
                  <w:sz w:val="14"/>
                  <w:szCs w:val="14"/>
                  <w:color w:val="0000FF"/>
                  <w:w w:val="89"/>
                </w:rPr>
                <w:t>25</w:t>
              </w:r>
            </w:hyperlink>
          </w:p>
        </w:tc>
      </w:tr>
      <w:tr>
        <w:trPr>
          <w:trHeight w:val="196"/>
        </w:trPr>
        <w:tc>
          <w:tcPr>
            <w:tcW w:w="1000" w:type="dxa"/>
            <w:vAlign w:val="bottom"/>
            <w:tcBorders>
              <w:top w:val="single" w:sz="8" w:color="0000FF"/>
            </w:tcBorders>
            <w:gridSpan w:val="3"/>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 5.</w:t>
              </w:r>
            </w:hyperlink>
          </w:p>
        </w:tc>
        <w:tc>
          <w:tcPr>
            <w:tcW w:w="1600" w:type="dxa"/>
            <w:vAlign w:val="bottom"/>
            <w:tcBorders>
              <w:top w:val="single" w:sz="8" w:color="0000FF"/>
            </w:tcBorders>
            <w:gridSpan w:val="8"/>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Other Information</w:t>
              </w:r>
            </w:hyperlink>
          </w:p>
        </w:tc>
        <w:tc>
          <w:tcPr>
            <w:tcW w:w="7360" w:type="dxa"/>
            <w:vAlign w:val="bottom"/>
            <w:gridSpan w:val="11"/>
          </w:tcPr>
          <w:p>
            <w:pPr>
              <w:spacing w:after="0"/>
              <w:rPr>
                <w:sz w:val="17"/>
                <w:szCs w:val="17"/>
                <w:color w:val="auto"/>
              </w:rPr>
            </w:pPr>
          </w:p>
        </w:tc>
        <w:tc>
          <w:tcPr>
            <w:tcW w:w="160" w:type="dxa"/>
            <w:vAlign w:val="bottom"/>
            <w:tcBorders>
              <w:top w:val="single" w:sz="8" w:color="0000FF"/>
            </w:tcBorders>
            <w:gridSpan w:val="2"/>
          </w:tcPr>
          <w:p>
            <w:pPr>
              <w:spacing w:after="0"/>
              <w:rPr>
                <w:rFonts w:ascii="Arial" w:cs="Arial" w:eastAsia="Arial" w:hAnsi="Arial"/>
                <w:sz w:val="14"/>
                <w:szCs w:val="14"/>
                <w:color w:val="0000FF"/>
                <w:w w:val="89"/>
              </w:rPr>
            </w:pPr>
            <w:hyperlink w:anchor="page25">
              <w:r>
                <w:rPr>
                  <w:rFonts w:ascii="Arial" w:cs="Arial" w:eastAsia="Arial" w:hAnsi="Arial"/>
                  <w:sz w:val="14"/>
                  <w:szCs w:val="14"/>
                  <w:color w:val="0000FF"/>
                  <w:w w:val="89"/>
                </w:rPr>
                <w:t>25</w:t>
              </w:r>
            </w:hyperlink>
          </w:p>
        </w:tc>
      </w:tr>
      <w:tr>
        <w:trPr>
          <w:trHeight w:val="20"/>
        </w:trPr>
        <w:tc>
          <w:tcPr>
            <w:tcW w:w="4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840" w:type="dxa"/>
            <w:vAlign w:val="bottom"/>
            <w:gridSpan w:val="15"/>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000" w:type="dxa"/>
            <w:vAlign w:val="bottom"/>
            <w:gridSpan w:val="3"/>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 6.</w:t>
              </w:r>
            </w:hyperlink>
          </w:p>
        </w:tc>
        <w:tc>
          <w:tcPr>
            <w:tcW w:w="8960" w:type="dxa"/>
            <w:vAlign w:val="bottom"/>
            <w:gridSpan w:val="19"/>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Exhibits</w:t>
              </w:r>
            </w:hyperlink>
          </w:p>
        </w:tc>
        <w:tc>
          <w:tcPr>
            <w:tcW w:w="160" w:type="dxa"/>
            <w:vAlign w:val="bottom"/>
            <w:gridSpan w:val="2"/>
          </w:tcPr>
          <w:p>
            <w:pPr>
              <w:spacing w:after="0"/>
              <w:rPr>
                <w:rFonts w:ascii="Arial" w:cs="Arial" w:eastAsia="Arial" w:hAnsi="Arial"/>
                <w:sz w:val="14"/>
                <w:szCs w:val="14"/>
                <w:color w:val="0000FF"/>
                <w:w w:val="89"/>
              </w:rPr>
            </w:pPr>
            <w:hyperlink w:anchor="page25">
              <w:r>
                <w:rPr>
                  <w:rFonts w:ascii="Arial" w:cs="Arial" w:eastAsia="Arial" w:hAnsi="Arial"/>
                  <w:sz w:val="14"/>
                  <w:szCs w:val="14"/>
                  <w:color w:val="0000FF"/>
                  <w:w w:val="89"/>
                </w:rPr>
                <w:t>26</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80" w:type="dxa"/>
            <w:vAlign w:val="bottom"/>
            <w:gridSpan w:val="17"/>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960" w:type="dxa"/>
            <w:vAlign w:val="bottom"/>
            <w:gridSpan w:val="19"/>
          </w:tcPr>
          <w:p>
            <w:pPr>
              <w:spacing w:after="0"/>
              <w:rPr>
                <w:rFonts w:ascii="Arial" w:cs="Arial" w:eastAsia="Arial" w:hAnsi="Arial"/>
                <w:sz w:val="14"/>
                <w:szCs w:val="14"/>
                <w:color w:val="0000FF"/>
              </w:rPr>
            </w:pPr>
            <w:hyperlink w:anchor="page26">
              <w:r>
                <w:rPr>
                  <w:rFonts w:ascii="Arial" w:cs="Arial" w:eastAsia="Arial" w:hAnsi="Arial"/>
                  <w:sz w:val="14"/>
                  <w:szCs w:val="14"/>
                  <w:color w:val="0000FF"/>
                </w:rPr>
                <w:t>Signatures</w:t>
              </w:r>
            </w:hyperlink>
          </w:p>
        </w:tc>
        <w:tc>
          <w:tcPr>
            <w:tcW w:w="160" w:type="dxa"/>
            <w:vAlign w:val="bottom"/>
            <w:gridSpan w:val="2"/>
          </w:tcPr>
          <w:p>
            <w:pPr>
              <w:spacing w:after="0"/>
              <w:rPr>
                <w:rFonts w:ascii="Arial" w:cs="Arial" w:eastAsia="Arial" w:hAnsi="Arial"/>
                <w:sz w:val="14"/>
                <w:szCs w:val="14"/>
                <w:color w:val="0000FF"/>
                <w:w w:val="89"/>
              </w:rPr>
            </w:pPr>
            <w:hyperlink w:anchor="page26">
              <w:r>
                <w:rPr>
                  <w:rFonts w:ascii="Arial" w:cs="Arial" w:eastAsia="Arial" w:hAnsi="Arial"/>
                  <w:sz w:val="14"/>
                  <w:szCs w:val="14"/>
                  <w:color w:val="0000FF"/>
                  <w:w w:val="89"/>
                </w:rPr>
                <w:t>26</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0120"/>
          </w:cols>
          <w:pgMar w:left="560" w:top="177" w:right="1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232F84"/>
        </w:rPr>
        <w:t>FORWARD LOOKING STATEMENTS</w:t>
      </w:r>
    </w:p>
    <w:p>
      <w:pPr>
        <w:spacing w:after="0" w:line="245" w:lineRule="exact"/>
        <w:rPr>
          <w:sz w:val="20"/>
          <w:szCs w:val="20"/>
          <w:color w:val="auto"/>
        </w:rPr>
      </w:pPr>
    </w:p>
    <w:p>
      <w:pPr>
        <w:ind w:right="120" w:firstLine="648"/>
        <w:spacing w:after="0" w:line="248" w:lineRule="auto"/>
        <w:rPr>
          <w:sz w:val="20"/>
          <w:szCs w:val="20"/>
          <w:color w:val="auto"/>
        </w:rPr>
      </w:pPr>
      <w:r>
        <w:rPr>
          <w:rFonts w:ascii="Arial" w:cs="Arial" w:eastAsia="Arial" w:hAnsi="Arial"/>
          <w:sz w:val="16"/>
          <w:szCs w:val="16"/>
          <w:color w:val="auto"/>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207" w:lineRule="exact"/>
        <w:rPr>
          <w:sz w:val="20"/>
          <w:szCs w:val="20"/>
          <w:color w:val="auto"/>
        </w:rPr>
      </w:pPr>
    </w:p>
    <w:p>
      <w:pPr>
        <w:ind w:left="1300" w:right="20" w:hanging="320"/>
        <w:spacing w:after="0" w:line="247"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business, including: limitations regarding the supply of avocados, either through purchasing or growing; the loss of one or more of our largest customers or a reduction in the level of purchases by customers; doing business internationally, including Mexican and Peruvian economic, political and/or societal conditions; fluctuations in market prices of avocados; increasing competition; inherent farming risks; variations in operating results due to the seasonality of the business; general economic conditions; the effects of the COVID-19 pandemic; increases in costs of commodities or other products used in our business; food safety events and recalls of our products; changes to USDA and FDA regulations, U.S. trade policy, and/or tariff and import/export regulations; restrictions due to health and safety laws; significant costs associated with compliance with environmental laws and regulations; acquisitions of other businesses; the ability of our infrastructure to handle our business needs; supply chain optimization failures or disruptions; disruption to the supply of reliable and cost-effective transportation; loss of key personnel and an adequate labor supply; information system security risks, data protection breaches and systems integration issues; changes in privacy and/or information security laws, policies and/or contractual arrangements; failure to maintain or protect our brand; and changes in tax rates or international tax legislation.</w:t>
      </w:r>
    </w:p>
    <w:p>
      <w:pPr>
        <w:spacing w:after="0" w:line="212" w:lineRule="exact"/>
        <w:rPr>
          <w:rFonts w:ascii="Arial" w:cs="Arial" w:eastAsia="Arial" w:hAnsi="Arial"/>
          <w:sz w:val="16"/>
          <w:szCs w:val="16"/>
          <w:color w:val="auto"/>
        </w:rPr>
      </w:pPr>
    </w:p>
    <w:p>
      <w:pPr>
        <w:ind w:left="1300" w:hanging="320"/>
        <w:spacing w:after="0" w:line="248"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common stock, including: the viability of an active, liquid, and orderly market for our common stock; volatility in the trading price of our common stock; failure to meet continued Nasdaq listing requirements; concentration of control in our executive officers, directors and principal stockholders over matters submitted to stockholders for approval; limited sources of capital appreciation; the sale into the market of restricted shares; reduced disclosure requirements due to our emerging growth company status;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208" w:lineRule="exact"/>
        <w:rPr>
          <w:rFonts w:ascii="Arial" w:cs="Arial" w:eastAsia="Arial" w:hAnsi="Arial"/>
          <w:sz w:val="16"/>
          <w:szCs w:val="16"/>
          <w:color w:val="auto"/>
        </w:rPr>
      </w:pPr>
    </w:p>
    <w:p>
      <w:pPr>
        <w:ind w:left="1300" w:right="40" w:hanging="320"/>
        <w:spacing w:after="0" w:line="260"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factors listed under “Item 1A. Risk Factors” in our most recent Annual Report on Form 10-K for the year ended October 31, 2020 and elsewhere in this report.</w:t>
      </w:r>
    </w:p>
    <w:p>
      <w:pPr>
        <w:spacing w:after="0" w:line="195" w:lineRule="exact"/>
        <w:rPr>
          <w:sz w:val="20"/>
          <w:szCs w:val="20"/>
          <w:color w:val="auto"/>
        </w:rPr>
      </w:pPr>
    </w:p>
    <w:p>
      <w:pPr>
        <w:ind w:right="40" w:firstLine="648"/>
        <w:spacing w:after="0" w:line="248" w:lineRule="auto"/>
        <w:rPr>
          <w:sz w:val="20"/>
          <w:szCs w:val="20"/>
          <w:color w:val="auto"/>
        </w:rPr>
      </w:pPr>
      <w:r>
        <w:rPr>
          <w:rFonts w:ascii="Arial" w:cs="Arial" w:eastAsia="Arial" w:hAnsi="Arial"/>
          <w:sz w:val="16"/>
          <w:szCs w:val="16"/>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2020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7" w:lineRule="exact"/>
        <w:rPr>
          <w:sz w:val="20"/>
          <w:szCs w:val="20"/>
          <w:color w:val="auto"/>
        </w:rPr>
      </w:pPr>
    </w:p>
    <w:p>
      <w:pPr>
        <w:ind w:right="120" w:firstLine="648"/>
        <w:spacing w:after="0" w:line="25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4" w:lineRule="exact"/>
        <w:rPr>
          <w:sz w:val="20"/>
          <w:szCs w:val="20"/>
          <w:color w:val="auto"/>
        </w:rPr>
      </w:pPr>
    </w:p>
    <w:p>
      <w:pPr>
        <w:ind w:right="100" w:firstLine="648"/>
        <w:spacing w:after="0" w:line="253" w:lineRule="auto"/>
        <w:rPr>
          <w:sz w:val="20"/>
          <w:szCs w:val="20"/>
          <w:color w:val="auto"/>
        </w:rPr>
      </w:pPr>
      <w:r>
        <w:rPr>
          <w:rFonts w:ascii="Arial" w:cs="Arial" w:eastAsia="Arial" w:hAnsi="Arial"/>
          <w:sz w:val="16"/>
          <w:szCs w:val="16"/>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1" w:lineRule="exact"/>
        <w:rPr>
          <w:sz w:val="20"/>
          <w:szCs w:val="20"/>
          <w:color w:val="auto"/>
        </w:rPr>
      </w:pPr>
    </w:p>
    <w:p>
      <w:pPr>
        <w:jc w:val="both"/>
        <w:ind w:right="420" w:firstLine="648"/>
        <w:spacing w:after="0" w:line="253" w:lineRule="auto"/>
        <w:rPr>
          <w:sz w:val="20"/>
          <w:szCs w:val="20"/>
          <w:color w:val="auto"/>
        </w:rPr>
      </w:pPr>
      <w:r>
        <w:rPr>
          <w:rFonts w:ascii="Arial" w:cs="Arial" w:eastAsia="Arial" w:hAnsi="Arial"/>
          <w:sz w:val="16"/>
          <w:szCs w:val="16"/>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201" w:lineRule="exact"/>
        <w:rPr>
          <w:sz w:val="20"/>
          <w:szCs w:val="20"/>
          <w:color w:val="auto"/>
        </w:rPr>
      </w:pPr>
    </w:p>
    <w:p>
      <w:pPr>
        <w:ind w:right="120" w:firstLine="648"/>
        <w:spacing w:after="0" w:line="251" w:lineRule="auto"/>
        <w:rPr>
          <w:sz w:val="20"/>
          <w:szCs w:val="20"/>
          <w:color w:val="auto"/>
        </w:rPr>
      </w:pPr>
      <w:r>
        <w:rPr>
          <w:rFonts w:ascii="Arial" w:cs="Arial" w:eastAsia="Arial" w:hAnsi="Arial"/>
          <w:sz w:val="16"/>
          <w:szCs w:val="16"/>
          <w:color w:val="auto"/>
        </w:rPr>
        <w:t>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4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76" w:right="339" w:bottom="1440" w:gutter="0" w:footer="0" w:header="0"/>
        </w:sectPr>
      </w:pPr>
    </w:p>
    <w:bookmarkStart w:id="3" w:name="page4"/>
    <w:bookmarkEnd w:id="3"/>
    <w:p>
      <w:pPr>
        <w:ind w:firstLine="648"/>
        <w:spacing w:after="0" w:line="251" w:lineRule="auto"/>
        <w:rPr>
          <w:sz w:val="20"/>
          <w:szCs w:val="20"/>
          <w:color w:val="auto"/>
        </w:rPr>
      </w:pPr>
      <w:r>
        <w:rPr>
          <w:rFonts w:ascii="Arial" w:cs="Arial" w:eastAsia="Arial" w:hAnsi="Arial"/>
          <w:sz w:val="16"/>
          <w:szCs w:val="16"/>
          <w:color w:val="auto"/>
        </w:rPr>
        <w:t>We maintain a website at www.worldsfinestavocados.com,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4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60"/>
          </w:cols>
          <w:pgMar w:left="320" w:top="1005"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36"/>
        </w:trPr>
        <w:tc>
          <w:tcPr>
            <w:tcW w:w="860" w:type="dxa"/>
            <w:vAlign w:val="bottom"/>
          </w:tcPr>
          <w:p>
            <w:pPr>
              <w:spacing w:after="0"/>
              <w:rPr>
                <w:sz w:val="24"/>
                <w:szCs w:val="24"/>
                <w:color w:val="auto"/>
              </w:rPr>
            </w:pPr>
          </w:p>
        </w:tc>
        <w:tc>
          <w:tcPr>
            <w:tcW w:w="7060" w:type="dxa"/>
            <w:vAlign w:val="bottom"/>
          </w:tcPr>
          <w:p>
            <w:pPr>
              <w:jc w:val="center"/>
              <w:ind w:left="2392"/>
              <w:spacing w:after="0"/>
              <w:rPr>
                <w:sz w:val="20"/>
                <w:szCs w:val="20"/>
                <w:color w:val="auto"/>
              </w:rPr>
            </w:pPr>
            <w:r>
              <w:rPr>
                <w:rFonts w:ascii="Arial" w:cs="Arial" w:eastAsia="Arial" w:hAnsi="Arial"/>
                <w:sz w:val="25"/>
                <w:szCs w:val="25"/>
                <w:b w:val="1"/>
                <w:bCs w:val="1"/>
                <w:color w:val="232F84"/>
                <w:w w:val="99"/>
              </w:rPr>
              <w:t>PART I- FINANCIAL INFORMATION</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13"/>
        </w:trPr>
        <w:tc>
          <w:tcPr>
            <w:tcW w:w="860" w:type="dxa"/>
            <w:vAlign w:val="bottom"/>
          </w:tcPr>
          <w:p>
            <w:pPr>
              <w:spacing w:after="0"/>
              <w:rPr>
                <w:sz w:val="20"/>
                <w:szCs w:val="20"/>
                <w:color w:val="auto"/>
              </w:rPr>
            </w:pPr>
            <w:r>
              <w:rPr>
                <w:rFonts w:ascii="Arial" w:cs="Arial" w:eastAsia="Arial" w:hAnsi="Arial"/>
                <w:sz w:val="25"/>
                <w:szCs w:val="25"/>
                <w:b w:val="1"/>
                <w:bCs w:val="1"/>
                <w:color w:val="232F84"/>
              </w:rPr>
              <w:t>Item 1.</w:t>
            </w:r>
          </w:p>
        </w:tc>
        <w:tc>
          <w:tcPr>
            <w:tcW w:w="7060" w:type="dxa"/>
            <w:vAlign w:val="bottom"/>
          </w:tcPr>
          <w:p>
            <w:pPr>
              <w:ind w:left="580"/>
              <w:spacing w:after="0"/>
              <w:rPr>
                <w:sz w:val="20"/>
                <w:szCs w:val="20"/>
                <w:color w:val="auto"/>
              </w:rPr>
            </w:pPr>
            <w:r>
              <w:rPr>
                <w:rFonts w:ascii="Arial" w:cs="Arial" w:eastAsia="Arial" w:hAnsi="Arial"/>
                <w:sz w:val="25"/>
                <w:szCs w:val="25"/>
                <w:b w:val="1"/>
                <w:bCs w:val="1"/>
                <w:color w:val="232F84"/>
              </w:rPr>
              <w:t>Financial Statements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1"/>
        </w:trPr>
        <w:tc>
          <w:tcPr>
            <w:tcW w:w="860" w:type="dxa"/>
            <w:vAlign w:val="bottom"/>
          </w:tcPr>
          <w:p>
            <w:pPr>
              <w:spacing w:after="0"/>
              <w:rPr>
                <w:sz w:val="24"/>
                <w:szCs w:val="24"/>
                <w:color w:val="auto"/>
              </w:rPr>
            </w:pPr>
          </w:p>
        </w:tc>
        <w:tc>
          <w:tcPr>
            <w:tcW w:w="7060" w:type="dxa"/>
            <w:vAlign w:val="bottom"/>
          </w:tcPr>
          <w:p>
            <w:pPr>
              <w:jc w:val="center"/>
              <w:ind w:left="2392"/>
              <w:spacing w:after="0"/>
              <w:rPr>
                <w:sz w:val="20"/>
                <w:szCs w:val="20"/>
                <w:color w:val="auto"/>
              </w:rPr>
            </w:pPr>
            <w:r>
              <w:rPr>
                <w:rFonts w:ascii="Arial" w:cs="Arial" w:eastAsia="Arial" w:hAnsi="Arial"/>
                <w:sz w:val="20"/>
                <w:szCs w:val="20"/>
                <w:b w:val="1"/>
                <w:bCs w:val="1"/>
                <w:color w:val="232F84"/>
                <w:w w:val="98"/>
              </w:rPr>
              <w:t>MISSION PRODUCE, INC.</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3"/>
        </w:trPr>
        <w:tc>
          <w:tcPr>
            <w:tcW w:w="860" w:type="dxa"/>
            <w:vAlign w:val="bottom"/>
          </w:tcPr>
          <w:p>
            <w:pPr>
              <w:spacing w:after="0"/>
              <w:rPr>
                <w:sz w:val="24"/>
                <w:szCs w:val="24"/>
                <w:color w:val="auto"/>
              </w:rPr>
            </w:pPr>
          </w:p>
        </w:tc>
        <w:tc>
          <w:tcPr>
            <w:tcW w:w="8760" w:type="dxa"/>
            <w:vAlign w:val="bottom"/>
            <w:gridSpan w:val="3"/>
          </w:tcPr>
          <w:p>
            <w:pPr>
              <w:jc w:val="center"/>
              <w:ind w:left="672"/>
              <w:spacing w:after="0"/>
              <w:rPr>
                <w:sz w:val="20"/>
                <w:szCs w:val="20"/>
                <w:color w:val="auto"/>
              </w:rPr>
            </w:pPr>
            <w:r>
              <w:rPr>
                <w:rFonts w:ascii="Arial" w:cs="Arial" w:eastAsia="Arial" w:hAnsi="Arial"/>
                <w:sz w:val="20"/>
                <w:szCs w:val="20"/>
                <w:b w:val="1"/>
                <w:bCs w:val="1"/>
                <w:color w:val="232F84"/>
                <w:w w:val="98"/>
              </w:rPr>
              <w:t>CONDENSED CONSOLIDATED BALANCE SHEETS (UNAUDITED)</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9"/>
        </w:trPr>
        <w:tc>
          <w:tcPr>
            <w:tcW w:w="792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792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 except for shares)</w:t>
            </w:r>
          </w:p>
        </w:tc>
        <w:tc>
          <w:tcPr>
            <w:tcW w:w="440" w:type="dxa"/>
            <w:vAlign w:val="bottom"/>
            <w:shd w:val="clear" w:color="auto" w:fill="232F84"/>
          </w:tcPr>
          <w:p>
            <w:pPr>
              <w:spacing w:after="0"/>
              <w:rPr>
                <w:sz w:val="18"/>
                <w:szCs w:val="18"/>
                <w:color w:val="auto"/>
              </w:rPr>
            </w:pPr>
          </w:p>
        </w:tc>
        <w:tc>
          <w:tcPr>
            <w:tcW w:w="12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April 30, 2021</w:t>
            </w:r>
          </w:p>
        </w:tc>
        <w:tc>
          <w:tcPr>
            <w:tcW w:w="300" w:type="dxa"/>
            <w:vAlign w:val="bottom"/>
            <w:shd w:val="clear" w:color="auto" w:fill="232F84"/>
          </w:tcPr>
          <w:p>
            <w:pPr>
              <w:spacing w:after="0"/>
              <w:rPr>
                <w:sz w:val="18"/>
                <w:szCs w:val="18"/>
                <w:color w:val="auto"/>
              </w:rPr>
            </w:pPr>
          </w:p>
        </w:tc>
        <w:tc>
          <w:tcPr>
            <w:tcW w:w="13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r>
      <w:tr>
        <w:trPr>
          <w:trHeight w:val="216"/>
        </w:trPr>
        <w:tc>
          <w:tcPr>
            <w:tcW w:w="86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232F84"/>
              </w:rPr>
              <w:t>Assets</w:t>
            </w:r>
          </w:p>
        </w:tc>
        <w:tc>
          <w:tcPr>
            <w:tcW w:w="7060" w:type="dxa"/>
            <w:vAlign w:val="bottom"/>
            <w:shd w:val="clear" w:color="auto" w:fill="43C0B9"/>
          </w:tcPr>
          <w:p>
            <w:pPr>
              <w:spacing w:after="0"/>
              <w:rPr>
                <w:sz w:val="18"/>
                <w:szCs w:val="18"/>
                <w:color w:val="auto"/>
              </w:rPr>
            </w:pPr>
          </w:p>
        </w:tc>
        <w:tc>
          <w:tcPr>
            <w:tcW w:w="440" w:type="dxa"/>
            <w:vAlign w:val="bottom"/>
            <w:shd w:val="clear" w:color="auto" w:fill="43C0B9"/>
          </w:tcPr>
          <w:p>
            <w:pPr>
              <w:spacing w:after="0"/>
              <w:rPr>
                <w:sz w:val="18"/>
                <w:szCs w:val="18"/>
                <w:color w:val="auto"/>
              </w:rPr>
            </w:pPr>
          </w:p>
        </w:tc>
        <w:tc>
          <w:tcPr>
            <w:tcW w:w="1260" w:type="dxa"/>
            <w:vAlign w:val="bottom"/>
            <w:shd w:val="clear" w:color="auto" w:fill="43C0B9"/>
          </w:tcPr>
          <w:p>
            <w:pPr>
              <w:spacing w:after="0"/>
              <w:rPr>
                <w:sz w:val="18"/>
                <w:szCs w:val="18"/>
                <w:color w:val="auto"/>
              </w:rPr>
            </w:pP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spacing w:after="0"/>
              <w:rPr>
                <w:sz w:val="18"/>
                <w:szCs w:val="18"/>
                <w:color w:val="auto"/>
              </w:rPr>
            </w:pPr>
          </w:p>
        </w:tc>
      </w:tr>
      <w:tr>
        <w:trPr>
          <w:trHeight w:val="210"/>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792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Cash and cash equivalents</w:t>
            </w:r>
          </w:p>
        </w:tc>
        <w:tc>
          <w:tcPr>
            <w:tcW w:w="440" w:type="dxa"/>
            <w:vAlign w:val="bottom"/>
            <w:shd w:val="clear" w:color="auto" w:fill="43C0B9"/>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54.2</w:t>
            </w:r>
          </w:p>
        </w:tc>
        <w:tc>
          <w:tcPr>
            <w:tcW w:w="3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124.0</w:t>
            </w:r>
          </w:p>
        </w:tc>
      </w:tr>
      <w:tr>
        <w:trPr>
          <w:trHeight w:val="210"/>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Restricted cash</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2"/>
        </w:trPr>
        <w:tc>
          <w:tcPr>
            <w:tcW w:w="792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Accounts receivable</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spacing w:after="0"/>
              <w:rPr>
                <w:sz w:val="19"/>
                <w:szCs w:val="19"/>
                <w:color w:val="auto"/>
              </w:rPr>
            </w:pP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spacing w:after="0"/>
              <w:rPr>
                <w:sz w:val="19"/>
                <w:szCs w:val="19"/>
                <w:color w:val="auto"/>
              </w:rPr>
            </w:pPr>
          </w:p>
        </w:tc>
      </w:tr>
      <w:tr>
        <w:trPr>
          <w:trHeight w:val="210"/>
        </w:trPr>
        <w:tc>
          <w:tcPr>
            <w:tcW w:w="86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Arial" w:cs="Arial" w:eastAsia="Arial" w:hAnsi="Arial"/>
                <w:sz w:val="14"/>
                <w:szCs w:val="14"/>
                <w:color w:val="auto"/>
              </w:rPr>
              <w:t>Trade, net of allowances of $0.2 and $0.3, respectively</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85.8</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222"/>
        </w:trPr>
        <w:tc>
          <w:tcPr>
            <w:tcW w:w="860" w:type="dxa"/>
            <w:vAlign w:val="bottom"/>
            <w:shd w:val="clear" w:color="auto" w:fill="43C0B9"/>
          </w:tcPr>
          <w:p>
            <w:pPr>
              <w:spacing w:after="0"/>
              <w:rPr>
                <w:sz w:val="19"/>
                <w:szCs w:val="19"/>
                <w:color w:val="auto"/>
              </w:rPr>
            </w:pPr>
          </w:p>
        </w:tc>
        <w:tc>
          <w:tcPr>
            <w:tcW w:w="7060" w:type="dxa"/>
            <w:vAlign w:val="bottom"/>
            <w:shd w:val="clear" w:color="auto" w:fill="43C0B9"/>
          </w:tcPr>
          <w:p>
            <w:pPr>
              <w:ind w:left="40"/>
              <w:spacing w:after="0"/>
              <w:rPr>
                <w:sz w:val="20"/>
                <w:szCs w:val="20"/>
                <w:color w:val="auto"/>
              </w:rPr>
            </w:pPr>
            <w:r>
              <w:rPr>
                <w:rFonts w:ascii="Arial" w:cs="Arial" w:eastAsia="Arial" w:hAnsi="Arial"/>
                <w:sz w:val="14"/>
                <w:szCs w:val="14"/>
                <w:color w:val="auto"/>
              </w:rPr>
              <w:t>Grower and fruit advances</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3.2</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1.5</w:t>
            </w:r>
          </w:p>
        </w:tc>
      </w:tr>
      <w:tr>
        <w:trPr>
          <w:trHeight w:val="210"/>
        </w:trPr>
        <w:tc>
          <w:tcPr>
            <w:tcW w:w="86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Arial" w:cs="Arial" w:eastAsia="Arial" w:hAnsi="Arial"/>
                <w:sz w:val="14"/>
                <w:szCs w:val="14"/>
                <w:color w:val="auto"/>
              </w:rPr>
              <w:t>Miscellaneous receivables</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22"/>
        </w:trPr>
        <w:tc>
          <w:tcPr>
            <w:tcW w:w="792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Inventory</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65.1</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38.6</w:t>
            </w:r>
          </w:p>
        </w:tc>
      </w:tr>
      <w:tr>
        <w:trPr>
          <w:trHeight w:val="210"/>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22"/>
        </w:trPr>
        <w:tc>
          <w:tcPr>
            <w:tcW w:w="792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Loans to equity method investees</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2.7</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9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Income taxes receivable</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16"/>
        </w:trPr>
        <w:tc>
          <w:tcPr>
            <w:tcW w:w="860" w:type="dxa"/>
            <w:vAlign w:val="bottom"/>
            <w:shd w:val="clear" w:color="auto" w:fill="43C0B9"/>
          </w:tcPr>
          <w:p>
            <w:pPr>
              <w:spacing w:after="0"/>
              <w:rPr>
                <w:sz w:val="18"/>
                <w:szCs w:val="18"/>
                <w:color w:val="auto"/>
              </w:rPr>
            </w:pPr>
          </w:p>
        </w:tc>
        <w:tc>
          <w:tcPr>
            <w:tcW w:w="7060" w:type="dxa"/>
            <w:vAlign w:val="bottom"/>
            <w:shd w:val="clear" w:color="auto" w:fill="43C0B9"/>
          </w:tcPr>
          <w:p>
            <w:pPr>
              <w:ind w:left="460"/>
              <w:spacing w:after="0"/>
              <w:rPr>
                <w:sz w:val="20"/>
                <w:szCs w:val="20"/>
                <w:color w:val="auto"/>
              </w:rPr>
            </w:pPr>
            <w:r>
              <w:rPr>
                <w:rFonts w:ascii="Arial" w:cs="Arial" w:eastAsia="Arial" w:hAnsi="Arial"/>
                <w:sz w:val="14"/>
                <w:szCs w:val="14"/>
                <w:color w:val="auto"/>
              </w:rPr>
              <w:t>Total current assets</w:t>
            </w:r>
          </w:p>
        </w:tc>
        <w:tc>
          <w:tcPr>
            <w:tcW w:w="440" w:type="dxa"/>
            <w:vAlign w:val="bottom"/>
            <w:shd w:val="clear" w:color="auto" w:fill="43C0B9"/>
          </w:tcPr>
          <w:p>
            <w:pPr>
              <w:spacing w:after="0"/>
              <w:rPr>
                <w:sz w:val="18"/>
                <w:szCs w:val="18"/>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243.8</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248.1</w:t>
            </w:r>
          </w:p>
        </w:tc>
      </w:tr>
      <w:tr>
        <w:trPr>
          <w:trHeight w:val="210"/>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Property, plant and equipment, net</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412.1</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379.1</w:t>
            </w:r>
          </w:p>
        </w:tc>
      </w:tr>
      <w:tr>
        <w:trPr>
          <w:trHeight w:val="222"/>
        </w:trPr>
        <w:tc>
          <w:tcPr>
            <w:tcW w:w="792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Equity method investees</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49.2</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46.7</w:t>
            </w:r>
          </w:p>
        </w:tc>
      </w:tr>
      <w:tr>
        <w:trPr>
          <w:trHeight w:val="210"/>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Loans to equity method investees</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22"/>
        </w:trPr>
        <w:tc>
          <w:tcPr>
            <w:tcW w:w="792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Deferred income taxes</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7.0</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4.4</w:t>
            </w:r>
          </w:p>
        </w:tc>
      </w:tr>
      <w:tr>
        <w:trPr>
          <w:trHeight w:val="210"/>
        </w:trPr>
        <w:tc>
          <w:tcPr>
            <w:tcW w:w="860" w:type="dxa"/>
            <w:vAlign w:val="bottom"/>
          </w:tcPr>
          <w:p>
            <w:pPr>
              <w:ind w:left="20"/>
              <w:spacing w:after="0"/>
              <w:rPr>
                <w:sz w:val="20"/>
                <w:szCs w:val="20"/>
                <w:color w:val="auto"/>
              </w:rPr>
            </w:pPr>
            <w:r>
              <w:rPr>
                <w:rFonts w:ascii="Arial" w:cs="Arial" w:eastAsia="Arial" w:hAnsi="Arial"/>
                <w:sz w:val="14"/>
                <w:szCs w:val="14"/>
                <w:color w:val="auto"/>
              </w:rPr>
              <w:t>Goodwill</w:t>
            </w:r>
          </w:p>
        </w:tc>
        <w:tc>
          <w:tcPr>
            <w:tcW w:w="7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76.4</w:t>
            </w:r>
          </w:p>
        </w:tc>
      </w:tr>
      <w:tr>
        <w:trPr>
          <w:trHeight w:val="216"/>
        </w:trPr>
        <w:tc>
          <w:tcPr>
            <w:tcW w:w="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 assets</w:t>
            </w:r>
          </w:p>
        </w:tc>
        <w:tc>
          <w:tcPr>
            <w:tcW w:w="7060" w:type="dxa"/>
            <w:vAlign w:val="bottom"/>
            <w:tcBorders>
              <w:bottom w:val="single" w:sz="8" w:color="auto"/>
            </w:tcBorders>
            <w:shd w:val="clear" w:color="auto" w:fill="43C0B9"/>
          </w:tcPr>
          <w:p>
            <w:pPr>
              <w:spacing w:after="0"/>
              <w:rPr>
                <w:sz w:val="18"/>
                <w:szCs w:val="18"/>
                <w:color w:val="auto"/>
              </w:rPr>
            </w:pPr>
          </w:p>
        </w:tc>
        <w:tc>
          <w:tcPr>
            <w:tcW w:w="440" w:type="dxa"/>
            <w:vAlign w:val="bottom"/>
            <w:tcBorders>
              <w:bottom w:val="single" w:sz="8" w:color="auto"/>
            </w:tcBorders>
            <w:shd w:val="clear" w:color="auto" w:fill="43C0B9"/>
          </w:tcPr>
          <w:p>
            <w:pPr>
              <w:spacing w:after="0"/>
              <w:rPr>
                <w:sz w:val="18"/>
                <w:szCs w:val="18"/>
                <w:color w:val="auto"/>
              </w:rPr>
            </w:pPr>
          </w:p>
        </w:tc>
        <w:tc>
          <w:tcPr>
            <w:tcW w:w="12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18.9</w:t>
            </w:r>
          </w:p>
        </w:tc>
        <w:tc>
          <w:tcPr>
            <w:tcW w:w="300" w:type="dxa"/>
            <w:vAlign w:val="bottom"/>
            <w:tcBorders>
              <w:bottom w:val="single" w:sz="8" w:color="auto"/>
            </w:tcBorders>
            <w:shd w:val="clear" w:color="auto" w:fill="43C0B9"/>
          </w:tcPr>
          <w:p>
            <w:pPr>
              <w:spacing w:after="0"/>
              <w:rPr>
                <w:sz w:val="18"/>
                <w:szCs w:val="18"/>
                <w:color w:val="auto"/>
              </w:rPr>
            </w:pPr>
          </w:p>
        </w:tc>
        <w:tc>
          <w:tcPr>
            <w:tcW w:w="13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18.1</w:t>
            </w:r>
          </w:p>
        </w:tc>
      </w:tr>
      <w:tr>
        <w:trPr>
          <w:trHeight w:val="210"/>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assets</w:t>
            </w:r>
          </w:p>
        </w:tc>
        <w:tc>
          <w:tcPr>
            <w:tcW w:w="7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808.9</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777.3</w:t>
            </w:r>
          </w:p>
        </w:tc>
      </w:tr>
      <w:tr>
        <w:trPr>
          <w:trHeight w:val="215"/>
        </w:trPr>
        <w:tc>
          <w:tcPr>
            <w:tcW w:w="860" w:type="dxa"/>
            <w:vAlign w:val="bottom"/>
            <w:shd w:val="clear" w:color="auto" w:fill="43C0B9"/>
          </w:tcPr>
          <w:p>
            <w:pPr>
              <w:spacing w:after="0"/>
              <w:rPr>
                <w:sz w:val="18"/>
                <w:szCs w:val="18"/>
                <w:color w:val="auto"/>
              </w:rPr>
            </w:pPr>
          </w:p>
        </w:tc>
        <w:tc>
          <w:tcPr>
            <w:tcW w:w="7060" w:type="dxa"/>
            <w:vAlign w:val="bottom"/>
            <w:shd w:val="clear" w:color="auto" w:fill="43C0B9"/>
          </w:tcPr>
          <w:p>
            <w:pPr>
              <w:spacing w:after="0"/>
              <w:rPr>
                <w:sz w:val="18"/>
                <w:szCs w:val="18"/>
                <w:color w:val="auto"/>
              </w:rPr>
            </w:pPr>
          </w:p>
        </w:tc>
        <w:tc>
          <w:tcPr>
            <w:tcW w:w="440" w:type="dxa"/>
            <w:vAlign w:val="bottom"/>
            <w:shd w:val="clear" w:color="auto" w:fill="43C0B9"/>
          </w:tcPr>
          <w:p>
            <w:pPr>
              <w:spacing w:after="0"/>
              <w:rPr>
                <w:sz w:val="18"/>
                <w:szCs w:val="18"/>
                <w:color w:val="auto"/>
              </w:rPr>
            </w:pPr>
          </w:p>
        </w:tc>
        <w:tc>
          <w:tcPr>
            <w:tcW w:w="1260" w:type="dxa"/>
            <w:vAlign w:val="bottom"/>
            <w:shd w:val="clear" w:color="auto" w:fill="43C0B9"/>
          </w:tcPr>
          <w:p>
            <w:pPr>
              <w:spacing w:after="0"/>
              <w:rPr>
                <w:sz w:val="18"/>
                <w:szCs w:val="18"/>
                <w:color w:val="auto"/>
              </w:rPr>
            </w:pP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spacing w:after="0"/>
              <w:rPr>
                <w:sz w:val="18"/>
                <w:szCs w:val="18"/>
                <w:color w:val="auto"/>
              </w:rPr>
            </w:pPr>
          </w:p>
        </w:tc>
      </w:tr>
      <w:tr>
        <w:trPr>
          <w:trHeight w:val="210"/>
        </w:trPr>
        <w:tc>
          <w:tcPr>
            <w:tcW w:w="7920" w:type="dxa"/>
            <w:vAlign w:val="bottom"/>
            <w:gridSpan w:val="2"/>
          </w:tcPr>
          <w:p>
            <w:pPr>
              <w:ind w:left="20"/>
              <w:spacing w:after="0"/>
              <w:rPr>
                <w:sz w:val="20"/>
                <w:szCs w:val="20"/>
                <w:color w:val="auto"/>
              </w:rPr>
            </w:pPr>
            <w:r>
              <w:rPr>
                <w:rFonts w:ascii="Arial" w:cs="Arial" w:eastAsia="Arial" w:hAnsi="Arial"/>
                <w:sz w:val="14"/>
                <w:szCs w:val="14"/>
                <w:b w:val="1"/>
                <w:bCs w:val="1"/>
                <w:color w:val="232F84"/>
              </w:rPr>
              <w:t>Liabilities and Shareholders' Equity</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Liabilities:</w:t>
            </w:r>
          </w:p>
        </w:tc>
        <w:tc>
          <w:tcPr>
            <w:tcW w:w="7060" w:type="dxa"/>
            <w:vAlign w:val="bottom"/>
            <w:shd w:val="clear" w:color="auto" w:fill="43C0B9"/>
          </w:tcPr>
          <w:p>
            <w:pPr>
              <w:spacing w:after="0"/>
              <w:rPr>
                <w:sz w:val="19"/>
                <w:szCs w:val="19"/>
                <w:color w:val="auto"/>
              </w:rPr>
            </w:pP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spacing w:after="0"/>
              <w:rPr>
                <w:sz w:val="19"/>
                <w:szCs w:val="19"/>
                <w:color w:val="auto"/>
              </w:rPr>
            </w:pP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spacing w:after="0"/>
              <w:rPr>
                <w:sz w:val="19"/>
                <w:szCs w:val="19"/>
                <w:color w:val="auto"/>
              </w:rPr>
            </w:pPr>
          </w:p>
        </w:tc>
      </w:tr>
      <w:tr>
        <w:trPr>
          <w:trHeight w:val="210"/>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Accounts payable</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222"/>
        </w:trPr>
        <w:tc>
          <w:tcPr>
            <w:tcW w:w="792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Accrued expenses</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33.7</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28.3</w:t>
            </w:r>
          </w:p>
        </w:tc>
      </w:tr>
      <w:tr>
        <w:trPr>
          <w:trHeight w:val="210"/>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Income taxes payable</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2"/>
        </w:trPr>
        <w:tc>
          <w:tcPr>
            <w:tcW w:w="792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Grower payables</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31.4</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18.8</w:t>
            </w:r>
          </w:p>
        </w:tc>
      </w:tr>
      <w:tr>
        <w:trPr>
          <w:trHeight w:val="210"/>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Long-term debt—current portion</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16"/>
        </w:trPr>
        <w:tc>
          <w:tcPr>
            <w:tcW w:w="7920" w:type="dxa"/>
            <w:vAlign w:val="bottom"/>
            <w:tcBorders>
              <w:bottom w:val="single" w:sz="8" w:color="auto"/>
            </w:tcBorders>
            <w:gridSpan w:val="2"/>
            <w:shd w:val="clear" w:color="auto" w:fill="43C0B9"/>
          </w:tcPr>
          <w:p>
            <w:pPr>
              <w:ind w:left="460"/>
              <w:spacing w:after="0"/>
              <w:rPr>
                <w:sz w:val="20"/>
                <w:szCs w:val="20"/>
                <w:color w:val="auto"/>
              </w:rPr>
            </w:pPr>
            <w:r>
              <w:rPr>
                <w:rFonts w:ascii="Arial" w:cs="Arial" w:eastAsia="Arial" w:hAnsi="Arial"/>
                <w:sz w:val="14"/>
                <w:szCs w:val="14"/>
                <w:color w:val="auto"/>
              </w:rPr>
              <w:t>Capital leases—current portion</w:t>
            </w:r>
          </w:p>
        </w:tc>
        <w:tc>
          <w:tcPr>
            <w:tcW w:w="440" w:type="dxa"/>
            <w:vAlign w:val="bottom"/>
            <w:tcBorders>
              <w:bottom w:val="single" w:sz="8" w:color="auto"/>
            </w:tcBorders>
            <w:shd w:val="clear" w:color="auto" w:fill="43C0B9"/>
          </w:tcPr>
          <w:p>
            <w:pPr>
              <w:spacing w:after="0"/>
              <w:rPr>
                <w:sz w:val="18"/>
                <w:szCs w:val="18"/>
                <w:color w:val="auto"/>
              </w:rPr>
            </w:pPr>
          </w:p>
        </w:tc>
        <w:tc>
          <w:tcPr>
            <w:tcW w:w="12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auto"/>
            </w:tcBorders>
            <w:shd w:val="clear" w:color="auto" w:fill="43C0B9"/>
          </w:tcPr>
          <w:p>
            <w:pPr>
              <w:spacing w:after="0"/>
              <w:rPr>
                <w:sz w:val="18"/>
                <w:szCs w:val="18"/>
                <w:color w:val="auto"/>
              </w:rPr>
            </w:pPr>
          </w:p>
        </w:tc>
        <w:tc>
          <w:tcPr>
            <w:tcW w:w="13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1.2</w:t>
            </w:r>
          </w:p>
        </w:tc>
      </w:tr>
      <w:tr>
        <w:trPr>
          <w:trHeight w:val="209"/>
        </w:trPr>
        <w:tc>
          <w:tcPr>
            <w:tcW w:w="860" w:type="dxa"/>
            <w:vAlign w:val="bottom"/>
          </w:tcPr>
          <w:p>
            <w:pPr>
              <w:spacing w:after="0"/>
              <w:rPr>
                <w:sz w:val="18"/>
                <w:szCs w:val="18"/>
                <w:color w:val="auto"/>
              </w:rPr>
            </w:pPr>
          </w:p>
        </w:tc>
        <w:tc>
          <w:tcPr>
            <w:tcW w:w="706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97.0</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77.9</w:t>
            </w:r>
          </w:p>
        </w:tc>
      </w:tr>
      <w:tr>
        <w:trPr>
          <w:trHeight w:val="222"/>
        </w:trPr>
        <w:tc>
          <w:tcPr>
            <w:tcW w:w="792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Long-term debt, net of current portion</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162.0</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166.7</w:t>
            </w:r>
          </w:p>
        </w:tc>
      </w:tr>
      <w:tr>
        <w:trPr>
          <w:trHeight w:val="210"/>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Capital leases, net of current portion</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22"/>
        </w:trPr>
        <w:tc>
          <w:tcPr>
            <w:tcW w:w="792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Income taxes payable</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3.8</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3.8</w:t>
            </w:r>
          </w:p>
        </w:tc>
      </w:tr>
      <w:tr>
        <w:trPr>
          <w:trHeight w:val="210"/>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35.3</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16"/>
        </w:trPr>
        <w:tc>
          <w:tcPr>
            <w:tcW w:w="792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4"/>
                <w:szCs w:val="14"/>
                <w:color w:val="auto"/>
              </w:rPr>
              <w:t>Other long-term liabilities</w:t>
            </w:r>
          </w:p>
        </w:tc>
        <w:tc>
          <w:tcPr>
            <w:tcW w:w="440" w:type="dxa"/>
            <w:vAlign w:val="bottom"/>
            <w:tcBorders>
              <w:bottom w:val="single" w:sz="8" w:color="auto"/>
            </w:tcBorders>
            <w:shd w:val="clear" w:color="auto" w:fill="43C0B9"/>
          </w:tcPr>
          <w:p>
            <w:pPr>
              <w:spacing w:after="0"/>
              <w:rPr>
                <w:sz w:val="18"/>
                <w:szCs w:val="18"/>
                <w:color w:val="auto"/>
              </w:rPr>
            </w:pPr>
          </w:p>
        </w:tc>
        <w:tc>
          <w:tcPr>
            <w:tcW w:w="12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23.1</w:t>
            </w:r>
          </w:p>
        </w:tc>
        <w:tc>
          <w:tcPr>
            <w:tcW w:w="300" w:type="dxa"/>
            <w:vAlign w:val="bottom"/>
            <w:tcBorders>
              <w:bottom w:val="single" w:sz="8" w:color="auto"/>
            </w:tcBorders>
            <w:shd w:val="clear" w:color="auto" w:fill="43C0B9"/>
          </w:tcPr>
          <w:p>
            <w:pPr>
              <w:spacing w:after="0"/>
              <w:rPr>
                <w:sz w:val="18"/>
                <w:szCs w:val="18"/>
                <w:color w:val="auto"/>
              </w:rPr>
            </w:pPr>
          </w:p>
        </w:tc>
        <w:tc>
          <w:tcPr>
            <w:tcW w:w="13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24.3</w:t>
            </w:r>
          </w:p>
        </w:tc>
      </w:tr>
      <w:tr>
        <w:trPr>
          <w:trHeight w:val="209"/>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Total liabilities</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323.9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303.8</w:t>
            </w:r>
          </w:p>
        </w:tc>
      </w:tr>
      <w:tr>
        <w:trPr>
          <w:trHeight w:val="222"/>
        </w:trPr>
        <w:tc>
          <w:tcPr>
            <w:tcW w:w="792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Commitments and contingencies (Note 5)</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spacing w:after="0"/>
              <w:rPr>
                <w:sz w:val="19"/>
                <w:szCs w:val="19"/>
                <w:color w:val="auto"/>
              </w:rPr>
            </w:pP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spacing w:after="0"/>
              <w:rPr>
                <w:sz w:val="19"/>
                <w:szCs w:val="19"/>
                <w:color w:val="auto"/>
              </w:rPr>
            </w:pPr>
          </w:p>
        </w:tc>
      </w:tr>
      <w:tr>
        <w:trPr>
          <w:trHeight w:val="210"/>
        </w:trPr>
        <w:tc>
          <w:tcPr>
            <w:tcW w:w="7920" w:type="dxa"/>
            <w:vAlign w:val="bottom"/>
            <w:gridSpan w:val="2"/>
          </w:tcPr>
          <w:p>
            <w:pPr>
              <w:ind w:left="20"/>
              <w:spacing w:after="0"/>
              <w:rPr>
                <w:sz w:val="20"/>
                <w:szCs w:val="20"/>
                <w:color w:val="auto"/>
              </w:rPr>
            </w:pPr>
            <w:r>
              <w:rPr>
                <w:rFonts w:ascii="Arial" w:cs="Arial" w:eastAsia="Arial" w:hAnsi="Arial"/>
                <w:sz w:val="14"/>
                <w:szCs w:val="14"/>
                <w:color w:val="auto"/>
              </w:rPr>
              <w:t>Shareholders' Equity</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0"/>
        </w:trPr>
        <w:tc>
          <w:tcPr>
            <w:tcW w:w="792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Common stock ($0.001 par value, 1,000,000,000 shares authorized; 70,600,922 and 70,550,922 shares issued and</w:t>
            </w:r>
          </w:p>
        </w:tc>
        <w:tc>
          <w:tcPr>
            <w:tcW w:w="440" w:type="dxa"/>
            <w:vAlign w:val="bottom"/>
            <w:shd w:val="clear" w:color="auto" w:fill="43C0B9"/>
          </w:tcPr>
          <w:p>
            <w:pPr>
              <w:spacing w:after="0"/>
              <w:rPr>
                <w:sz w:val="17"/>
                <w:szCs w:val="17"/>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0.1</w:t>
            </w:r>
          </w:p>
        </w:tc>
        <w:tc>
          <w:tcPr>
            <w:tcW w:w="300" w:type="dxa"/>
            <w:vAlign w:val="bottom"/>
            <w:shd w:val="clear" w:color="auto" w:fill="43C0B9"/>
          </w:tcPr>
          <w:p>
            <w:pPr>
              <w:spacing w:after="0"/>
              <w:rPr>
                <w:sz w:val="17"/>
                <w:szCs w:val="17"/>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0.1</w:t>
            </w:r>
          </w:p>
        </w:tc>
      </w:tr>
      <w:tr>
        <w:trPr>
          <w:trHeight w:val="184"/>
        </w:trPr>
        <w:tc>
          <w:tcPr>
            <w:tcW w:w="792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outstanding as of April 30, 2021 and October 31, 2020, respectively)</w:t>
            </w:r>
          </w:p>
        </w:tc>
        <w:tc>
          <w:tcPr>
            <w:tcW w:w="440" w:type="dxa"/>
            <w:vAlign w:val="bottom"/>
            <w:shd w:val="clear" w:color="auto" w:fill="43C0B9"/>
          </w:tcPr>
          <w:p>
            <w:pPr>
              <w:spacing w:after="0"/>
              <w:rPr>
                <w:sz w:val="16"/>
                <w:szCs w:val="16"/>
                <w:color w:val="auto"/>
              </w:rPr>
            </w:pPr>
          </w:p>
        </w:tc>
        <w:tc>
          <w:tcPr>
            <w:tcW w:w="1260" w:type="dxa"/>
            <w:vAlign w:val="bottom"/>
            <w:shd w:val="clear" w:color="auto" w:fill="43C0B9"/>
          </w:tcPr>
          <w:p>
            <w:pPr>
              <w:spacing w:after="0"/>
              <w:rPr>
                <w:sz w:val="16"/>
                <w:szCs w:val="16"/>
                <w:color w:val="auto"/>
              </w:rPr>
            </w:pPr>
          </w:p>
        </w:tc>
        <w:tc>
          <w:tcPr>
            <w:tcW w:w="300" w:type="dxa"/>
            <w:vAlign w:val="bottom"/>
            <w:shd w:val="clear" w:color="auto" w:fill="43C0B9"/>
          </w:tcPr>
          <w:p>
            <w:pPr>
              <w:spacing w:after="0"/>
              <w:rPr>
                <w:sz w:val="16"/>
                <w:szCs w:val="16"/>
                <w:color w:val="auto"/>
              </w:rPr>
            </w:pPr>
          </w:p>
        </w:tc>
        <w:tc>
          <w:tcPr>
            <w:tcW w:w="1320" w:type="dxa"/>
            <w:vAlign w:val="bottom"/>
            <w:shd w:val="clear" w:color="auto" w:fill="43C0B9"/>
          </w:tcPr>
          <w:p>
            <w:pPr>
              <w:spacing w:after="0"/>
              <w:rPr>
                <w:sz w:val="16"/>
                <w:szCs w:val="16"/>
                <w:color w:val="auto"/>
              </w:rPr>
            </w:pPr>
          </w:p>
        </w:tc>
      </w:tr>
      <w:tr>
        <w:trPr>
          <w:trHeight w:val="210"/>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Additional paid-in capital</w:t>
            </w:r>
          </w:p>
        </w:tc>
        <w:tc>
          <w:tcPr>
            <w:tcW w:w="44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224.3</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222.8</w:t>
            </w:r>
          </w:p>
        </w:tc>
      </w:tr>
      <w:tr>
        <w:trPr>
          <w:trHeight w:val="222"/>
        </w:trPr>
        <w:tc>
          <w:tcPr>
            <w:tcW w:w="792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Notes receivable from shareholders</w:t>
            </w:r>
          </w:p>
        </w:tc>
        <w:tc>
          <w:tcPr>
            <w:tcW w:w="440" w:type="dxa"/>
            <w:vAlign w:val="bottom"/>
            <w:shd w:val="clear" w:color="auto" w:fill="43C0B9"/>
          </w:tcPr>
          <w:p>
            <w:pPr>
              <w:spacing w:after="0"/>
              <w:rPr>
                <w:sz w:val="19"/>
                <w:szCs w:val="19"/>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(0.1)</w:t>
            </w:r>
          </w:p>
        </w:tc>
      </w:tr>
      <w:tr>
        <w:trPr>
          <w:trHeight w:val="210"/>
        </w:trPr>
        <w:tc>
          <w:tcPr>
            <w:tcW w:w="7920" w:type="dxa"/>
            <w:vAlign w:val="bottom"/>
            <w:gridSpan w:val="2"/>
          </w:tcPr>
          <w:p>
            <w:pPr>
              <w:ind w:left="460"/>
              <w:spacing w:after="0"/>
              <w:rPr>
                <w:sz w:val="20"/>
                <w:szCs w:val="20"/>
                <w:color w:val="auto"/>
              </w:rPr>
            </w:pPr>
            <w:r>
              <w:rPr>
                <w:rFonts w:ascii="Arial" w:cs="Arial" w:eastAsia="Arial" w:hAnsi="Arial"/>
                <w:sz w:val="14"/>
                <w:szCs w:val="14"/>
                <w:color w:val="auto"/>
              </w:rPr>
              <w:t>Accumulated other comprehensive loss</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7920" w:type="dxa"/>
            <w:vAlign w:val="bottom"/>
            <w:tcBorders>
              <w:bottom w:val="single" w:sz="8" w:color="auto"/>
            </w:tcBorders>
            <w:gridSpan w:val="2"/>
            <w:shd w:val="clear" w:color="auto" w:fill="43C0B9"/>
          </w:tcPr>
          <w:p>
            <w:pPr>
              <w:ind w:left="460"/>
              <w:spacing w:after="0"/>
              <w:rPr>
                <w:sz w:val="20"/>
                <w:szCs w:val="20"/>
                <w:color w:val="auto"/>
              </w:rPr>
            </w:pPr>
            <w:r>
              <w:rPr>
                <w:rFonts w:ascii="Arial" w:cs="Arial" w:eastAsia="Arial" w:hAnsi="Arial"/>
                <w:sz w:val="14"/>
                <w:szCs w:val="14"/>
                <w:color w:val="auto"/>
              </w:rPr>
              <w:t>Retained earnings</w:t>
            </w:r>
          </w:p>
        </w:tc>
        <w:tc>
          <w:tcPr>
            <w:tcW w:w="440" w:type="dxa"/>
            <w:vAlign w:val="bottom"/>
            <w:tcBorders>
              <w:bottom w:val="single" w:sz="8" w:color="auto"/>
            </w:tcBorders>
            <w:shd w:val="clear" w:color="auto" w:fill="43C0B9"/>
          </w:tcPr>
          <w:p>
            <w:pPr>
              <w:spacing w:after="0"/>
              <w:rPr>
                <w:sz w:val="18"/>
                <w:szCs w:val="18"/>
                <w:color w:val="auto"/>
              </w:rPr>
            </w:pPr>
          </w:p>
        </w:tc>
        <w:tc>
          <w:tcPr>
            <w:tcW w:w="12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260.8</w:t>
            </w:r>
          </w:p>
        </w:tc>
        <w:tc>
          <w:tcPr>
            <w:tcW w:w="300" w:type="dxa"/>
            <w:vAlign w:val="bottom"/>
            <w:tcBorders>
              <w:bottom w:val="single" w:sz="8" w:color="auto"/>
            </w:tcBorders>
            <w:shd w:val="clear" w:color="auto" w:fill="43C0B9"/>
          </w:tcPr>
          <w:p>
            <w:pPr>
              <w:spacing w:after="0"/>
              <w:rPr>
                <w:sz w:val="18"/>
                <w:szCs w:val="18"/>
                <w:color w:val="auto"/>
              </w:rPr>
            </w:pPr>
          </w:p>
        </w:tc>
        <w:tc>
          <w:tcPr>
            <w:tcW w:w="13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251.2</w:t>
            </w:r>
          </w:p>
        </w:tc>
      </w:tr>
      <w:tr>
        <w:trPr>
          <w:trHeight w:val="210"/>
        </w:trPr>
        <w:tc>
          <w:tcPr>
            <w:tcW w:w="86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Total shareholders' equity</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485.0</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473.5</w:t>
            </w:r>
          </w:p>
        </w:tc>
      </w:tr>
      <w:tr>
        <w:trPr>
          <w:trHeight w:val="209"/>
        </w:trPr>
        <w:tc>
          <w:tcPr>
            <w:tcW w:w="792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440" w:type="dxa"/>
            <w:vAlign w:val="bottom"/>
            <w:tcBorders>
              <w:bottom w:val="single" w:sz="8" w:color="auto"/>
            </w:tcBorders>
            <w:shd w:val="clear" w:color="auto" w:fill="43C0B9"/>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808.9</w:t>
            </w:r>
          </w:p>
        </w:tc>
        <w:tc>
          <w:tcPr>
            <w:tcW w:w="30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777.3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240"/>
          </w:cols>
          <w:pgMar w:left="320" w:top="86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65"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CONDENSED CONSOLIDATED STATEMENTS OF COMPREHENSIVE INCOME (LOSS)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shd w:val="clear" w:color="auto" w:fill="232F84"/>
          </w:tcPr>
          <w:p>
            <w:pPr>
              <w:spacing w:after="0"/>
              <w:rPr>
                <w:sz w:val="15"/>
                <w:szCs w:val="15"/>
                <w:color w:val="auto"/>
              </w:rPr>
            </w:pPr>
          </w:p>
        </w:tc>
        <w:tc>
          <w:tcPr>
            <w:tcW w:w="500" w:type="dxa"/>
            <w:vAlign w:val="bottom"/>
            <w:shd w:val="clear" w:color="auto" w:fill="232F84"/>
          </w:tcPr>
          <w:p>
            <w:pPr>
              <w:spacing w:after="0"/>
              <w:rPr>
                <w:sz w:val="15"/>
                <w:szCs w:val="15"/>
                <w:color w:val="auto"/>
              </w:rPr>
            </w:pPr>
          </w:p>
        </w:tc>
        <w:tc>
          <w:tcPr>
            <w:tcW w:w="204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72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1980" w:type="dxa"/>
            <w:vAlign w:val="bottom"/>
            <w:gridSpan w:val="2"/>
            <w:shd w:val="clear" w:color="auto" w:fill="232F84"/>
          </w:tcPr>
          <w:p>
            <w:pPr>
              <w:jc w:val="right"/>
              <w:ind w:right="208"/>
              <w:spacing w:after="0"/>
              <w:rPr>
                <w:sz w:val="20"/>
                <w:szCs w:val="20"/>
                <w:color w:val="auto"/>
              </w:rPr>
            </w:pPr>
            <w:r>
              <w:rPr>
                <w:rFonts w:ascii="Arial" w:cs="Arial" w:eastAsia="Arial" w:hAnsi="Arial"/>
                <w:sz w:val="14"/>
                <w:szCs w:val="14"/>
                <w:b w:val="1"/>
                <w:bCs w:val="1"/>
                <w:color w:val="FFFFFF"/>
              </w:rPr>
              <w:t>Six Months Ended</w:t>
            </w:r>
          </w:p>
        </w:tc>
        <w:tc>
          <w:tcPr>
            <w:tcW w:w="720" w:type="dxa"/>
            <w:vAlign w:val="bottom"/>
            <w:shd w:val="clear" w:color="auto" w:fill="232F84"/>
          </w:tcPr>
          <w:p>
            <w:pPr>
              <w:spacing w:after="0"/>
              <w:rPr>
                <w:sz w:val="15"/>
                <w:szCs w:val="15"/>
                <w:color w:val="auto"/>
              </w:rPr>
            </w:pPr>
          </w:p>
        </w:tc>
      </w:tr>
      <w:tr>
        <w:trPr>
          <w:trHeight w:val="206"/>
        </w:trPr>
        <w:tc>
          <w:tcPr>
            <w:tcW w:w="4700" w:type="dxa"/>
            <w:vAlign w:val="bottom"/>
            <w:shd w:val="clear" w:color="auto" w:fill="232F84"/>
          </w:tcPr>
          <w:p>
            <w:pPr>
              <w:spacing w:after="0"/>
              <w:rPr>
                <w:sz w:val="17"/>
                <w:szCs w:val="17"/>
                <w:color w:val="auto"/>
              </w:rPr>
            </w:pPr>
          </w:p>
        </w:tc>
        <w:tc>
          <w:tcPr>
            <w:tcW w:w="50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right"/>
              <w:ind w:right="568"/>
              <w:spacing w:after="0"/>
              <w:rPr>
                <w:sz w:val="20"/>
                <w:szCs w:val="20"/>
                <w:color w:val="auto"/>
              </w:rPr>
            </w:pPr>
            <w:r>
              <w:rPr>
                <w:rFonts w:ascii="Arial" w:cs="Arial" w:eastAsia="Arial" w:hAnsi="Arial"/>
                <w:sz w:val="14"/>
                <w:szCs w:val="14"/>
                <w:b w:val="1"/>
                <w:bCs w:val="1"/>
                <w:color w:val="FFFFFF"/>
              </w:rPr>
              <w:t>April 30,</w:t>
            </w:r>
          </w:p>
        </w:tc>
        <w:tc>
          <w:tcPr>
            <w:tcW w:w="720" w:type="dxa"/>
            <w:vAlign w:val="bottom"/>
            <w:shd w:val="clear" w:color="auto" w:fill="232F84"/>
          </w:tcPr>
          <w:p>
            <w:pPr>
              <w:spacing w:after="0"/>
              <w:rPr>
                <w:sz w:val="17"/>
                <w:szCs w:val="17"/>
                <w:color w:val="auto"/>
              </w:rPr>
            </w:pPr>
          </w:p>
        </w:tc>
        <w:tc>
          <w:tcPr>
            <w:tcW w:w="580" w:type="dxa"/>
            <w:vAlign w:val="bottom"/>
            <w:shd w:val="clear" w:color="auto" w:fill="232F84"/>
          </w:tcPr>
          <w:p>
            <w:pPr>
              <w:spacing w:after="0"/>
              <w:rPr>
                <w:sz w:val="17"/>
                <w:szCs w:val="17"/>
                <w:color w:val="auto"/>
              </w:rPr>
            </w:pPr>
          </w:p>
        </w:tc>
        <w:tc>
          <w:tcPr>
            <w:tcW w:w="1980" w:type="dxa"/>
            <w:vAlign w:val="bottom"/>
            <w:gridSpan w:val="2"/>
            <w:shd w:val="clear" w:color="auto" w:fill="232F84"/>
          </w:tcPr>
          <w:p>
            <w:pPr>
              <w:jc w:val="right"/>
              <w:ind w:right="548"/>
              <w:spacing w:after="0"/>
              <w:rPr>
                <w:sz w:val="20"/>
                <w:szCs w:val="20"/>
                <w:color w:val="auto"/>
              </w:rPr>
            </w:pPr>
            <w:r>
              <w:rPr>
                <w:rFonts w:ascii="Arial" w:cs="Arial" w:eastAsia="Arial" w:hAnsi="Arial"/>
                <w:sz w:val="14"/>
                <w:szCs w:val="14"/>
                <w:b w:val="1"/>
                <w:bCs w:val="1"/>
                <w:color w:val="FFFFFF"/>
              </w:rPr>
              <w:t>April 30,</w:t>
            </w:r>
          </w:p>
        </w:tc>
        <w:tc>
          <w:tcPr>
            <w:tcW w:w="720" w:type="dxa"/>
            <w:vAlign w:val="bottom"/>
            <w:shd w:val="clear" w:color="auto" w:fill="232F84"/>
          </w:tcPr>
          <w:p>
            <w:pPr>
              <w:spacing w:after="0"/>
              <w:rPr>
                <w:sz w:val="17"/>
                <w:szCs w:val="17"/>
                <w:color w:val="auto"/>
              </w:rPr>
            </w:pPr>
          </w:p>
        </w:tc>
      </w:tr>
      <w:tr>
        <w:trPr>
          <w:trHeight w:val="226"/>
        </w:trPr>
        <w:tc>
          <w:tcPr>
            <w:tcW w:w="470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 except for per share amounts)</w:t>
            </w:r>
          </w:p>
        </w:tc>
        <w:tc>
          <w:tcPr>
            <w:tcW w:w="500" w:type="dxa"/>
            <w:vAlign w:val="bottom"/>
            <w:shd w:val="clear" w:color="auto" w:fill="232F84"/>
          </w:tcPr>
          <w:p>
            <w:pPr>
              <w:spacing w:after="0"/>
              <w:rPr>
                <w:sz w:val="19"/>
                <w:szCs w:val="19"/>
                <w:color w:val="auto"/>
              </w:rPr>
            </w:pPr>
          </w:p>
        </w:tc>
        <w:tc>
          <w:tcPr>
            <w:tcW w:w="110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72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2020</w:t>
            </w:r>
          </w:p>
        </w:tc>
        <w:tc>
          <w:tcPr>
            <w:tcW w:w="580" w:type="dxa"/>
            <w:vAlign w:val="bottom"/>
            <w:shd w:val="clear" w:color="auto" w:fill="232F84"/>
          </w:tcPr>
          <w:p>
            <w:pPr>
              <w:spacing w:after="0"/>
              <w:rPr>
                <w:sz w:val="19"/>
                <w:szCs w:val="19"/>
                <w:color w:val="auto"/>
              </w:rPr>
            </w:pPr>
          </w:p>
        </w:tc>
        <w:tc>
          <w:tcPr>
            <w:tcW w:w="108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00" w:type="dxa"/>
            <w:vAlign w:val="bottom"/>
            <w:shd w:val="clear" w:color="auto" w:fill="232F84"/>
          </w:tcPr>
          <w:p>
            <w:pPr>
              <w:spacing w:after="0"/>
              <w:rPr>
                <w:sz w:val="19"/>
                <w:szCs w:val="19"/>
                <w:color w:val="auto"/>
              </w:rPr>
            </w:pPr>
          </w:p>
        </w:tc>
        <w:tc>
          <w:tcPr>
            <w:tcW w:w="72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470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sales</w:t>
            </w:r>
          </w:p>
        </w:tc>
        <w:tc>
          <w:tcPr>
            <w:tcW w:w="500" w:type="dxa"/>
            <w:vAlign w:val="bottom"/>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234.7</w:t>
            </w:r>
          </w:p>
        </w:tc>
        <w:tc>
          <w:tcPr>
            <w:tcW w:w="940" w:type="dxa"/>
            <w:vAlign w:val="bottom"/>
            <w:shd w:val="clear" w:color="auto" w:fill="43C0B9"/>
          </w:tcPr>
          <w:p>
            <w:pPr>
              <w:jc w:val="right"/>
              <w:ind w:right="708"/>
              <w:spacing w:after="0"/>
              <w:rPr>
                <w:sz w:val="20"/>
                <w:szCs w:val="20"/>
                <w:color w:val="auto"/>
              </w:rPr>
            </w:pPr>
            <w:r>
              <w:rPr>
                <w:rFonts w:ascii="Arial" w:cs="Arial" w:eastAsia="Arial" w:hAnsi="Arial"/>
                <w:sz w:val="14"/>
                <w:szCs w:val="14"/>
                <w:color w:val="auto"/>
              </w:rPr>
              <w:t>$</w:t>
            </w:r>
          </w:p>
        </w:tc>
        <w:tc>
          <w:tcPr>
            <w:tcW w:w="7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221.6</w:t>
            </w:r>
          </w:p>
        </w:tc>
        <w:tc>
          <w:tcPr>
            <w:tcW w:w="580" w:type="dxa"/>
            <w:vAlign w:val="bottom"/>
            <w:shd w:val="clear" w:color="auto" w:fill="43C0B9"/>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407.9</w:t>
            </w:r>
          </w:p>
        </w:tc>
        <w:tc>
          <w:tcPr>
            <w:tcW w:w="900" w:type="dxa"/>
            <w:vAlign w:val="bottom"/>
            <w:shd w:val="clear" w:color="auto" w:fill="43C0B9"/>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419.1</w:t>
            </w:r>
          </w:p>
        </w:tc>
      </w:tr>
      <w:tr>
        <w:trPr>
          <w:trHeight w:val="21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207.6</w:t>
            </w: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200.1</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358.1</w:t>
            </w:r>
          </w:p>
        </w:tc>
        <w:tc>
          <w:tcPr>
            <w:tcW w:w="9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w:t>
            </w:r>
          </w:p>
        </w:tc>
      </w:tr>
      <w:tr>
        <w:trPr>
          <w:trHeight w:val="216"/>
        </w:trPr>
        <w:tc>
          <w:tcPr>
            <w:tcW w:w="4700" w:type="dxa"/>
            <w:vAlign w:val="bottom"/>
            <w:shd w:val="clear" w:color="auto" w:fill="43C0B9"/>
          </w:tcPr>
          <w:p>
            <w:pPr>
              <w:ind w:left="20"/>
              <w:spacing w:after="0"/>
              <w:rPr>
                <w:sz w:val="20"/>
                <w:szCs w:val="20"/>
                <w:color w:val="auto"/>
              </w:rPr>
            </w:pPr>
            <w:r>
              <w:rPr>
                <w:rFonts w:ascii="Arial" w:cs="Arial" w:eastAsia="Arial" w:hAnsi="Arial"/>
                <w:sz w:val="14"/>
                <w:szCs w:val="14"/>
                <w:color w:val="auto"/>
              </w:rPr>
              <w:t>Gross profit</w:t>
            </w:r>
          </w:p>
        </w:tc>
        <w:tc>
          <w:tcPr>
            <w:tcW w:w="500" w:type="dxa"/>
            <w:vAlign w:val="bottom"/>
            <w:shd w:val="clear" w:color="auto" w:fill="43C0B9"/>
          </w:tcPr>
          <w:p>
            <w:pPr>
              <w:spacing w:after="0"/>
              <w:rPr>
                <w:sz w:val="18"/>
                <w:szCs w:val="18"/>
                <w:color w:val="auto"/>
              </w:rPr>
            </w:pP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27.1</w:t>
            </w:r>
          </w:p>
        </w:tc>
        <w:tc>
          <w:tcPr>
            <w:tcW w:w="940" w:type="dxa"/>
            <w:vAlign w:val="bottom"/>
            <w:shd w:val="clear" w:color="auto" w:fill="43C0B9"/>
          </w:tcPr>
          <w:p>
            <w:pPr>
              <w:spacing w:after="0"/>
              <w:rPr>
                <w:sz w:val="18"/>
                <w:szCs w:val="18"/>
                <w:color w:val="auto"/>
              </w:rPr>
            </w:pPr>
          </w:p>
        </w:tc>
        <w:tc>
          <w:tcPr>
            <w:tcW w:w="7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21.5</w:t>
            </w:r>
          </w:p>
        </w:tc>
        <w:tc>
          <w:tcPr>
            <w:tcW w:w="58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49.8</w:t>
            </w:r>
          </w:p>
        </w:tc>
        <w:tc>
          <w:tcPr>
            <w:tcW w:w="900" w:type="dxa"/>
            <w:vAlign w:val="bottom"/>
            <w:shd w:val="clear" w:color="auto" w:fill="43C0B9"/>
          </w:tcPr>
          <w:p>
            <w:pPr>
              <w:spacing w:after="0"/>
              <w:rPr>
                <w:sz w:val="18"/>
                <w:szCs w:val="18"/>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40.9</w:t>
            </w:r>
          </w:p>
        </w:tc>
      </w:tr>
      <w:tr>
        <w:trPr>
          <w:trHeight w:val="21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9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r>
      <w:tr>
        <w:trPr>
          <w:trHeight w:val="216"/>
        </w:trPr>
        <w:tc>
          <w:tcPr>
            <w:tcW w:w="4700" w:type="dxa"/>
            <w:vAlign w:val="bottom"/>
            <w:shd w:val="clear" w:color="auto" w:fill="43C0B9"/>
          </w:tcPr>
          <w:p>
            <w:pPr>
              <w:ind w:left="20"/>
              <w:spacing w:after="0"/>
              <w:rPr>
                <w:sz w:val="20"/>
                <w:szCs w:val="20"/>
                <w:color w:val="auto"/>
              </w:rPr>
            </w:pPr>
            <w:r>
              <w:rPr>
                <w:rFonts w:ascii="Arial" w:cs="Arial" w:eastAsia="Arial" w:hAnsi="Arial"/>
                <w:sz w:val="14"/>
                <w:szCs w:val="14"/>
                <w:color w:val="auto"/>
              </w:rPr>
              <w:t>Operating income</w:t>
            </w:r>
          </w:p>
        </w:tc>
        <w:tc>
          <w:tcPr>
            <w:tcW w:w="500" w:type="dxa"/>
            <w:vAlign w:val="bottom"/>
            <w:shd w:val="clear" w:color="auto" w:fill="43C0B9"/>
          </w:tcPr>
          <w:p>
            <w:pPr>
              <w:spacing w:after="0"/>
              <w:rPr>
                <w:sz w:val="18"/>
                <w:szCs w:val="18"/>
                <w:color w:val="auto"/>
              </w:rPr>
            </w:pP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10.8</w:t>
            </w:r>
          </w:p>
        </w:tc>
        <w:tc>
          <w:tcPr>
            <w:tcW w:w="940" w:type="dxa"/>
            <w:vAlign w:val="bottom"/>
            <w:shd w:val="clear" w:color="auto" w:fill="43C0B9"/>
          </w:tcPr>
          <w:p>
            <w:pPr>
              <w:spacing w:after="0"/>
              <w:rPr>
                <w:sz w:val="18"/>
                <w:szCs w:val="18"/>
                <w:color w:val="auto"/>
              </w:rPr>
            </w:pPr>
          </w:p>
        </w:tc>
        <w:tc>
          <w:tcPr>
            <w:tcW w:w="7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10.4</w:t>
            </w:r>
          </w:p>
        </w:tc>
        <w:tc>
          <w:tcPr>
            <w:tcW w:w="580" w:type="dxa"/>
            <w:vAlign w:val="bottom"/>
            <w:shd w:val="clear" w:color="auto" w:fill="43C0B9"/>
          </w:tcPr>
          <w:p>
            <w:pPr>
              <w:spacing w:after="0"/>
              <w:rPr>
                <w:sz w:val="18"/>
                <w:szCs w:val="18"/>
                <w:color w:val="auto"/>
              </w:rPr>
            </w:pPr>
          </w:p>
        </w:tc>
        <w:tc>
          <w:tcPr>
            <w:tcW w:w="108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18.9</w:t>
            </w:r>
          </w:p>
        </w:tc>
        <w:tc>
          <w:tcPr>
            <w:tcW w:w="900" w:type="dxa"/>
            <w:vAlign w:val="bottom"/>
            <w:shd w:val="clear" w:color="auto" w:fill="43C0B9"/>
          </w:tcPr>
          <w:p>
            <w:pPr>
              <w:spacing w:after="0"/>
              <w:rPr>
                <w:sz w:val="18"/>
                <w:szCs w:val="18"/>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15.0</w:t>
            </w: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(0.8)</w:t>
            </w: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22"/>
        </w:trPr>
        <w:tc>
          <w:tcPr>
            <w:tcW w:w="4700" w:type="dxa"/>
            <w:vAlign w:val="bottom"/>
            <w:shd w:val="clear" w:color="auto" w:fill="43C0B9"/>
          </w:tcPr>
          <w:p>
            <w:pPr>
              <w:ind w:left="20"/>
              <w:spacing w:after="0"/>
              <w:rPr>
                <w:sz w:val="20"/>
                <w:szCs w:val="20"/>
                <w:color w:val="auto"/>
              </w:rPr>
            </w:pPr>
            <w:r>
              <w:rPr>
                <w:rFonts w:ascii="Arial" w:cs="Arial" w:eastAsia="Arial" w:hAnsi="Arial"/>
                <w:sz w:val="14"/>
                <w:szCs w:val="14"/>
                <w:color w:val="auto"/>
              </w:rPr>
              <w:t>Equity method (loss) income</w:t>
            </w:r>
          </w:p>
        </w:tc>
        <w:tc>
          <w:tcPr>
            <w:tcW w:w="500" w:type="dxa"/>
            <w:vAlign w:val="bottom"/>
            <w:shd w:val="clear" w:color="auto" w:fill="43C0B9"/>
          </w:tcPr>
          <w:p>
            <w:pPr>
              <w:spacing w:after="0"/>
              <w:rPr>
                <w:sz w:val="19"/>
                <w:szCs w:val="19"/>
                <w:color w:val="auto"/>
              </w:rPr>
            </w:pPr>
          </w:p>
        </w:tc>
        <w:tc>
          <w:tcPr>
            <w:tcW w:w="11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(0.2)</w:t>
            </w:r>
          </w:p>
        </w:tc>
        <w:tc>
          <w:tcPr>
            <w:tcW w:w="940" w:type="dxa"/>
            <w:vAlign w:val="bottom"/>
            <w:shd w:val="clear" w:color="auto" w:fill="43C0B9"/>
          </w:tcPr>
          <w:p>
            <w:pPr>
              <w:spacing w:after="0"/>
              <w:rPr>
                <w:sz w:val="19"/>
                <w:szCs w:val="19"/>
                <w:color w:val="auto"/>
              </w:rPr>
            </w:pPr>
          </w:p>
        </w:tc>
        <w:tc>
          <w:tcPr>
            <w:tcW w:w="7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0.4</w:t>
            </w:r>
          </w:p>
        </w:tc>
        <w:tc>
          <w:tcPr>
            <w:tcW w:w="58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2.1</w:t>
            </w:r>
          </w:p>
        </w:tc>
        <w:tc>
          <w:tcPr>
            <w:tcW w:w="900" w:type="dxa"/>
            <w:vAlign w:val="bottom"/>
            <w:shd w:val="clear" w:color="auto" w:fill="43C0B9"/>
          </w:tcPr>
          <w:p>
            <w:pPr>
              <w:spacing w:after="0"/>
              <w:rPr>
                <w:sz w:val="19"/>
                <w:szCs w:val="19"/>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color w:val="auto"/>
              </w:rPr>
              <w:t>Impairment on equity method investment</w:t>
            </w:r>
          </w:p>
        </w:tc>
        <w:tc>
          <w:tcPr>
            <w:tcW w:w="50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(21.2)</w:t>
            </w:r>
          </w:p>
        </w:tc>
        <w:tc>
          <w:tcPr>
            <w:tcW w:w="5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16"/>
        </w:trPr>
        <w:tc>
          <w:tcPr>
            <w:tcW w:w="47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 (expense) income, net</w:t>
            </w:r>
          </w:p>
        </w:tc>
        <w:tc>
          <w:tcPr>
            <w:tcW w:w="500" w:type="dxa"/>
            <w:vAlign w:val="bottom"/>
            <w:tcBorders>
              <w:bottom w:val="single" w:sz="8" w:color="auto"/>
            </w:tcBorders>
            <w:shd w:val="clear" w:color="auto" w:fill="43C0B9"/>
          </w:tcPr>
          <w:p>
            <w:pPr>
              <w:spacing w:after="0"/>
              <w:rPr>
                <w:sz w:val="18"/>
                <w:szCs w:val="18"/>
                <w:color w:val="auto"/>
              </w:rPr>
            </w:pPr>
          </w:p>
        </w:tc>
        <w:tc>
          <w:tcPr>
            <w:tcW w:w="11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(0.3)</w:t>
            </w:r>
          </w:p>
        </w:tc>
        <w:tc>
          <w:tcPr>
            <w:tcW w:w="94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1.4</w:t>
            </w:r>
          </w:p>
        </w:tc>
        <w:tc>
          <w:tcPr>
            <w:tcW w:w="580" w:type="dxa"/>
            <w:vAlign w:val="bottom"/>
            <w:tcBorders>
              <w:bottom w:val="single" w:sz="8" w:color="auto"/>
            </w:tcBorders>
            <w:shd w:val="clear" w:color="auto" w:fill="43C0B9"/>
          </w:tcPr>
          <w:p>
            <w:pPr>
              <w:spacing w:after="0"/>
              <w:rPr>
                <w:sz w:val="18"/>
                <w:szCs w:val="18"/>
                <w:color w:val="auto"/>
              </w:rPr>
            </w:pPr>
          </w:p>
        </w:tc>
        <w:tc>
          <w:tcPr>
            <w:tcW w:w="10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(0.3)</w:t>
            </w:r>
          </w:p>
        </w:tc>
        <w:tc>
          <w:tcPr>
            <w:tcW w:w="90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1.0</w:t>
            </w: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50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(11.3)</w:t>
            </w:r>
          </w:p>
        </w:tc>
        <w:tc>
          <w:tcPr>
            <w:tcW w:w="5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16"/>
        </w:trPr>
        <w:tc>
          <w:tcPr>
            <w:tcW w:w="47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Provision for income taxes</w:t>
            </w:r>
          </w:p>
        </w:tc>
        <w:tc>
          <w:tcPr>
            <w:tcW w:w="500" w:type="dxa"/>
            <w:vAlign w:val="bottom"/>
            <w:tcBorders>
              <w:bottom w:val="single" w:sz="8" w:color="auto"/>
            </w:tcBorders>
            <w:shd w:val="clear" w:color="auto" w:fill="43C0B9"/>
          </w:tcPr>
          <w:p>
            <w:pPr>
              <w:spacing w:after="0"/>
              <w:rPr>
                <w:sz w:val="18"/>
                <w:szCs w:val="18"/>
                <w:color w:val="auto"/>
              </w:rPr>
            </w:pPr>
          </w:p>
        </w:tc>
        <w:tc>
          <w:tcPr>
            <w:tcW w:w="110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2.1</w:t>
            </w:r>
          </w:p>
        </w:tc>
        <w:tc>
          <w:tcPr>
            <w:tcW w:w="94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3.5</w:t>
            </w:r>
          </w:p>
        </w:tc>
        <w:tc>
          <w:tcPr>
            <w:tcW w:w="580" w:type="dxa"/>
            <w:vAlign w:val="bottom"/>
            <w:tcBorders>
              <w:bottom w:val="single" w:sz="8" w:color="auto"/>
            </w:tcBorders>
            <w:shd w:val="clear" w:color="auto" w:fill="43C0B9"/>
          </w:tcPr>
          <w:p>
            <w:pPr>
              <w:spacing w:after="0"/>
              <w:rPr>
                <w:sz w:val="18"/>
                <w:szCs w:val="18"/>
                <w:color w:val="auto"/>
              </w:rPr>
            </w:pPr>
          </w:p>
        </w:tc>
        <w:tc>
          <w:tcPr>
            <w:tcW w:w="108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9.4</w:t>
            </w:r>
          </w:p>
        </w:tc>
        <w:tc>
          <w:tcPr>
            <w:tcW w:w="90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4.2</w:t>
            </w:r>
          </w:p>
        </w:tc>
      </w:tr>
      <w:tr>
        <w:trPr>
          <w:trHeight w:val="20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9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9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02"/>
        </w:trPr>
        <w:tc>
          <w:tcPr>
            <w:tcW w:w="4700" w:type="dxa"/>
            <w:vAlign w:val="bottom"/>
            <w:shd w:val="clear" w:color="auto" w:fill="43C0B9"/>
          </w:tcPr>
          <w:p>
            <w:pPr>
              <w:spacing w:after="0"/>
              <w:rPr>
                <w:sz w:val="17"/>
                <w:szCs w:val="17"/>
                <w:color w:val="auto"/>
              </w:rPr>
            </w:pPr>
          </w:p>
        </w:tc>
        <w:tc>
          <w:tcPr>
            <w:tcW w:w="500" w:type="dxa"/>
            <w:vAlign w:val="bottom"/>
            <w:shd w:val="clear" w:color="auto" w:fill="43C0B9"/>
          </w:tcPr>
          <w:p>
            <w:pPr>
              <w:spacing w:after="0"/>
              <w:rPr>
                <w:sz w:val="17"/>
                <w:szCs w:val="17"/>
                <w:color w:val="auto"/>
              </w:rPr>
            </w:pPr>
          </w:p>
        </w:tc>
        <w:tc>
          <w:tcPr>
            <w:tcW w:w="1100" w:type="dxa"/>
            <w:vAlign w:val="bottom"/>
            <w:shd w:val="clear" w:color="auto" w:fill="43C0B9"/>
          </w:tcPr>
          <w:p>
            <w:pPr>
              <w:spacing w:after="0"/>
              <w:rPr>
                <w:sz w:val="17"/>
                <w:szCs w:val="17"/>
                <w:color w:val="auto"/>
              </w:rPr>
            </w:pPr>
          </w:p>
        </w:tc>
        <w:tc>
          <w:tcPr>
            <w:tcW w:w="940" w:type="dxa"/>
            <w:vAlign w:val="bottom"/>
            <w:shd w:val="clear" w:color="auto" w:fill="43C0B9"/>
          </w:tcPr>
          <w:p>
            <w:pPr>
              <w:spacing w:after="0"/>
              <w:rPr>
                <w:sz w:val="17"/>
                <w:szCs w:val="17"/>
                <w:color w:val="auto"/>
              </w:rPr>
            </w:pPr>
          </w:p>
        </w:tc>
        <w:tc>
          <w:tcPr>
            <w:tcW w:w="720" w:type="dxa"/>
            <w:vAlign w:val="bottom"/>
            <w:shd w:val="clear" w:color="auto" w:fill="43C0B9"/>
          </w:tcPr>
          <w:p>
            <w:pPr>
              <w:spacing w:after="0"/>
              <w:rPr>
                <w:sz w:val="17"/>
                <w:szCs w:val="17"/>
                <w:color w:val="auto"/>
              </w:rPr>
            </w:pPr>
          </w:p>
        </w:tc>
        <w:tc>
          <w:tcPr>
            <w:tcW w:w="580" w:type="dxa"/>
            <w:vAlign w:val="bottom"/>
            <w:shd w:val="clear" w:color="auto" w:fill="43C0B9"/>
          </w:tcPr>
          <w:p>
            <w:pPr>
              <w:spacing w:after="0"/>
              <w:rPr>
                <w:sz w:val="17"/>
                <w:szCs w:val="17"/>
                <w:color w:val="auto"/>
              </w:rPr>
            </w:pPr>
          </w:p>
        </w:tc>
        <w:tc>
          <w:tcPr>
            <w:tcW w:w="1080" w:type="dxa"/>
            <w:vAlign w:val="bottom"/>
            <w:shd w:val="clear" w:color="auto" w:fill="43C0B9"/>
          </w:tcPr>
          <w:p>
            <w:pPr>
              <w:spacing w:after="0"/>
              <w:rPr>
                <w:sz w:val="17"/>
                <w:szCs w:val="17"/>
                <w:color w:val="auto"/>
              </w:rPr>
            </w:pPr>
          </w:p>
        </w:tc>
        <w:tc>
          <w:tcPr>
            <w:tcW w:w="900" w:type="dxa"/>
            <w:vAlign w:val="bottom"/>
            <w:shd w:val="clear" w:color="auto" w:fill="43C0B9"/>
          </w:tcPr>
          <w:p>
            <w:pPr>
              <w:spacing w:after="0"/>
              <w:rPr>
                <w:sz w:val="17"/>
                <w:szCs w:val="17"/>
                <w:color w:val="auto"/>
              </w:rPr>
            </w:pPr>
          </w:p>
        </w:tc>
        <w:tc>
          <w:tcPr>
            <w:tcW w:w="720" w:type="dxa"/>
            <w:vAlign w:val="bottom"/>
            <w:shd w:val="clear" w:color="auto" w:fill="43C0B9"/>
          </w:tcPr>
          <w:p>
            <w:pPr>
              <w:spacing w:after="0"/>
              <w:rPr>
                <w:sz w:val="17"/>
                <w:szCs w:val="17"/>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color w:val="auto"/>
              </w:rPr>
              <w:t>Net income (loss) per share:</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700" w:type="dxa"/>
            <w:vAlign w:val="bottom"/>
            <w:shd w:val="clear" w:color="auto" w:fill="43C0B9"/>
          </w:tcPr>
          <w:p>
            <w:pPr>
              <w:ind w:left="360"/>
              <w:spacing w:after="0"/>
              <w:rPr>
                <w:sz w:val="20"/>
                <w:szCs w:val="20"/>
                <w:color w:val="auto"/>
              </w:rPr>
            </w:pPr>
            <w:r>
              <w:rPr>
                <w:rFonts w:ascii="Arial" w:cs="Arial" w:eastAsia="Arial" w:hAnsi="Arial"/>
                <w:sz w:val="14"/>
                <w:szCs w:val="14"/>
                <w:color w:val="auto"/>
              </w:rPr>
              <w:t>Basic</w:t>
            </w:r>
          </w:p>
        </w:tc>
        <w:tc>
          <w:tcPr>
            <w:tcW w:w="500" w:type="dxa"/>
            <w:vAlign w:val="bottom"/>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0.10</w:t>
            </w:r>
          </w:p>
        </w:tc>
        <w:tc>
          <w:tcPr>
            <w:tcW w:w="940" w:type="dxa"/>
            <w:vAlign w:val="bottom"/>
            <w:shd w:val="clear" w:color="auto" w:fill="43C0B9"/>
          </w:tcPr>
          <w:p>
            <w:pPr>
              <w:jc w:val="right"/>
              <w:ind w:right="708"/>
              <w:spacing w:after="0"/>
              <w:rPr>
                <w:sz w:val="20"/>
                <w:szCs w:val="20"/>
                <w:color w:val="auto"/>
              </w:rPr>
            </w:pPr>
            <w:r>
              <w:rPr>
                <w:rFonts w:ascii="Arial" w:cs="Arial" w:eastAsia="Arial" w:hAnsi="Arial"/>
                <w:sz w:val="14"/>
                <w:szCs w:val="14"/>
                <w:color w:val="auto"/>
              </w:rPr>
              <w:t>$</w:t>
            </w: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(0.23)</w:t>
            </w:r>
          </w:p>
        </w:tc>
        <w:tc>
          <w:tcPr>
            <w:tcW w:w="580" w:type="dxa"/>
            <w:vAlign w:val="bottom"/>
            <w:shd w:val="clear" w:color="auto" w:fill="43C0B9"/>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0.14</w:t>
            </w:r>
          </w:p>
        </w:tc>
        <w:tc>
          <w:tcPr>
            <w:tcW w:w="900" w:type="dxa"/>
            <w:vAlign w:val="bottom"/>
            <w:shd w:val="clear" w:color="auto" w:fill="43C0B9"/>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(0.21)</w:t>
            </w:r>
          </w:p>
        </w:tc>
      </w:tr>
      <w:tr>
        <w:trPr>
          <w:trHeight w:val="210"/>
        </w:trPr>
        <w:tc>
          <w:tcPr>
            <w:tcW w:w="4700" w:type="dxa"/>
            <w:vAlign w:val="bottom"/>
          </w:tcPr>
          <w:p>
            <w:pPr>
              <w:ind w:left="360"/>
              <w:spacing w:after="0"/>
              <w:rPr>
                <w:sz w:val="20"/>
                <w:szCs w:val="20"/>
                <w:color w:val="auto"/>
              </w:rPr>
            </w:pPr>
            <w:r>
              <w:rPr>
                <w:rFonts w:ascii="Arial" w:cs="Arial" w:eastAsia="Arial" w:hAnsi="Arial"/>
                <w:sz w:val="14"/>
                <w:szCs w:val="14"/>
                <w:color w:val="auto"/>
              </w:rPr>
              <w:t>Diluted</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0.10</w:t>
            </w:r>
          </w:p>
        </w:tc>
        <w:tc>
          <w:tcPr>
            <w:tcW w:w="9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(0.23)</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0.14</w:t>
            </w:r>
          </w:p>
        </w:tc>
        <w:tc>
          <w:tcPr>
            <w:tcW w:w="9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(0.21)</w:t>
            </w:r>
          </w:p>
        </w:tc>
      </w:tr>
      <w:tr>
        <w:trPr>
          <w:trHeight w:val="222"/>
        </w:trPr>
        <w:tc>
          <w:tcPr>
            <w:tcW w:w="4700" w:type="dxa"/>
            <w:vAlign w:val="bottom"/>
            <w:shd w:val="clear" w:color="auto" w:fill="43C0B9"/>
          </w:tcPr>
          <w:p>
            <w:pPr>
              <w:spacing w:after="0"/>
              <w:rPr>
                <w:sz w:val="19"/>
                <w:szCs w:val="19"/>
                <w:color w:val="auto"/>
              </w:rPr>
            </w:pPr>
          </w:p>
        </w:tc>
        <w:tc>
          <w:tcPr>
            <w:tcW w:w="500" w:type="dxa"/>
            <w:vAlign w:val="bottom"/>
            <w:shd w:val="clear" w:color="auto" w:fill="43C0B9"/>
          </w:tcPr>
          <w:p>
            <w:pPr>
              <w:spacing w:after="0"/>
              <w:rPr>
                <w:sz w:val="19"/>
                <w:szCs w:val="19"/>
                <w:color w:val="auto"/>
              </w:rPr>
            </w:pPr>
          </w:p>
        </w:tc>
        <w:tc>
          <w:tcPr>
            <w:tcW w:w="1100" w:type="dxa"/>
            <w:vAlign w:val="bottom"/>
            <w:shd w:val="clear" w:color="auto" w:fill="43C0B9"/>
          </w:tcPr>
          <w:p>
            <w:pPr>
              <w:spacing w:after="0"/>
              <w:rPr>
                <w:sz w:val="19"/>
                <w:szCs w:val="19"/>
                <w:color w:val="auto"/>
              </w:rPr>
            </w:pPr>
          </w:p>
        </w:tc>
        <w:tc>
          <w:tcPr>
            <w:tcW w:w="940" w:type="dxa"/>
            <w:vAlign w:val="bottom"/>
            <w:shd w:val="clear" w:color="auto" w:fill="43C0B9"/>
          </w:tcPr>
          <w:p>
            <w:pPr>
              <w:spacing w:after="0"/>
              <w:rPr>
                <w:sz w:val="19"/>
                <w:szCs w:val="19"/>
                <w:color w:val="auto"/>
              </w:rPr>
            </w:pPr>
          </w:p>
        </w:tc>
        <w:tc>
          <w:tcPr>
            <w:tcW w:w="720" w:type="dxa"/>
            <w:vAlign w:val="bottom"/>
            <w:shd w:val="clear" w:color="auto" w:fill="43C0B9"/>
          </w:tcPr>
          <w:p>
            <w:pPr>
              <w:spacing w:after="0"/>
              <w:rPr>
                <w:sz w:val="19"/>
                <w:szCs w:val="19"/>
                <w:color w:val="auto"/>
              </w:rPr>
            </w:pPr>
          </w:p>
        </w:tc>
        <w:tc>
          <w:tcPr>
            <w:tcW w:w="580" w:type="dxa"/>
            <w:vAlign w:val="bottom"/>
            <w:shd w:val="clear" w:color="auto" w:fill="43C0B9"/>
          </w:tcPr>
          <w:p>
            <w:pPr>
              <w:spacing w:after="0"/>
              <w:rPr>
                <w:sz w:val="19"/>
                <w:szCs w:val="19"/>
                <w:color w:val="auto"/>
              </w:rPr>
            </w:pPr>
          </w:p>
        </w:tc>
        <w:tc>
          <w:tcPr>
            <w:tcW w:w="1080" w:type="dxa"/>
            <w:vAlign w:val="bottom"/>
            <w:shd w:val="clear" w:color="auto" w:fill="43C0B9"/>
          </w:tcPr>
          <w:p>
            <w:pPr>
              <w:spacing w:after="0"/>
              <w:rPr>
                <w:sz w:val="19"/>
                <w:szCs w:val="19"/>
                <w:color w:val="auto"/>
              </w:rPr>
            </w:pPr>
          </w:p>
        </w:tc>
        <w:tc>
          <w:tcPr>
            <w:tcW w:w="900" w:type="dxa"/>
            <w:vAlign w:val="bottom"/>
            <w:shd w:val="clear" w:color="auto" w:fill="43C0B9"/>
          </w:tcPr>
          <w:p>
            <w:pPr>
              <w:spacing w:after="0"/>
              <w:rPr>
                <w:sz w:val="19"/>
                <w:szCs w:val="19"/>
                <w:color w:val="auto"/>
              </w:rPr>
            </w:pPr>
          </w:p>
        </w:tc>
        <w:tc>
          <w:tcPr>
            <w:tcW w:w="720" w:type="dxa"/>
            <w:vAlign w:val="bottom"/>
            <w:shd w:val="clear" w:color="auto" w:fill="43C0B9"/>
          </w:tcPr>
          <w:p>
            <w:pPr>
              <w:spacing w:after="0"/>
              <w:rPr>
                <w:sz w:val="19"/>
                <w:szCs w:val="19"/>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700" w:type="dxa"/>
            <w:vAlign w:val="bottom"/>
            <w:tcBorders>
              <w:bottom w:val="single" w:sz="8" w:color="auto"/>
            </w:tcBorders>
            <w:shd w:val="clear" w:color="auto" w:fill="43C0B9"/>
          </w:tcPr>
          <w:p>
            <w:pPr>
              <w:ind w:left="360"/>
              <w:spacing w:after="0"/>
              <w:rPr>
                <w:sz w:val="20"/>
                <w:szCs w:val="20"/>
                <w:color w:val="auto"/>
              </w:rPr>
            </w:pPr>
            <w:r>
              <w:rPr>
                <w:rFonts w:ascii="Arial" w:cs="Arial" w:eastAsia="Arial" w:hAnsi="Arial"/>
                <w:sz w:val="14"/>
                <w:szCs w:val="14"/>
                <w:color w:val="auto"/>
              </w:rPr>
              <w:t>Foreign currency translation adjustments</w:t>
            </w:r>
          </w:p>
        </w:tc>
        <w:tc>
          <w:tcPr>
            <w:tcW w:w="500" w:type="dxa"/>
            <w:vAlign w:val="bottom"/>
            <w:tcBorders>
              <w:bottom w:val="single" w:sz="8" w:color="auto"/>
            </w:tcBorders>
            <w:shd w:val="clear" w:color="auto" w:fill="43C0B9"/>
          </w:tcPr>
          <w:p>
            <w:pPr>
              <w:spacing w:after="0"/>
              <w:rPr>
                <w:sz w:val="18"/>
                <w:szCs w:val="18"/>
                <w:color w:val="auto"/>
              </w:rPr>
            </w:pPr>
          </w:p>
        </w:tc>
        <w:tc>
          <w:tcPr>
            <w:tcW w:w="11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(0.2)</w:t>
            </w:r>
          </w:p>
        </w:tc>
        <w:tc>
          <w:tcPr>
            <w:tcW w:w="94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(0.1)</w:t>
            </w:r>
          </w:p>
        </w:tc>
        <w:tc>
          <w:tcPr>
            <w:tcW w:w="580" w:type="dxa"/>
            <w:vAlign w:val="bottom"/>
            <w:tcBorders>
              <w:bottom w:val="single" w:sz="8" w:color="auto"/>
            </w:tcBorders>
            <w:shd w:val="clear" w:color="auto" w:fill="43C0B9"/>
          </w:tcPr>
          <w:p>
            <w:pPr>
              <w:spacing w:after="0"/>
              <w:rPr>
                <w:sz w:val="18"/>
                <w:szCs w:val="18"/>
                <w:color w:val="auto"/>
              </w:rPr>
            </w:pPr>
          </w:p>
        </w:tc>
        <w:tc>
          <w:tcPr>
            <w:tcW w:w="108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0.3</w:t>
            </w:r>
          </w:p>
        </w:tc>
        <w:tc>
          <w:tcPr>
            <w:tcW w:w="90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(0.1)</w:t>
            </w:r>
          </w:p>
        </w:tc>
      </w:tr>
      <w:tr>
        <w:trPr>
          <w:trHeight w:val="21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income (loss)</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c>
          <w:tcPr>
            <w:tcW w:w="9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w:t>
            </w:r>
          </w:p>
        </w:tc>
        <w:tc>
          <w:tcPr>
            <w:tcW w:w="9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CONDENSED CONSOLIDATED STATEMENTS OF SHAREHOLDERS’ EQUITY (UNAUDITED)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2940" w:type="dxa"/>
            <w:vAlign w:val="bottom"/>
            <w:vMerge w:val="restart"/>
            <w:shd w:val="clear" w:color="auto" w:fill="232F84"/>
          </w:tcPr>
          <w:p>
            <w:pPr>
              <w:ind w:left="20"/>
              <w:spacing w:after="0"/>
              <w:rPr>
                <w:sz w:val="20"/>
                <w:szCs w:val="20"/>
                <w:color w:val="auto"/>
              </w:rPr>
            </w:pPr>
            <w:r>
              <w:rPr>
                <w:rFonts w:ascii="Arial" w:cs="Arial" w:eastAsia="Arial" w:hAnsi="Arial"/>
                <w:sz w:val="13"/>
                <w:szCs w:val="13"/>
                <w:b w:val="1"/>
                <w:bCs w:val="1"/>
                <w:color w:val="FFFFFF"/>
              </w:rPr>
              <w:t>(In millions, except for</w:t>
            </w:r>
          </w:p>
        </w:tc>
        <w:tc>
          <w:tcPr>
            <w:tcW w:w="1640" w:type="dxa"/>
            <w:vAlign w:val="bottom"/>
            <w:gridSpan w:val="2"/>
            <w:vMerge w:val="restart"/>
            <w:shd w:val="clear" w:color="auto" w:fill="232F84"/>
          </w:tcPr>
          <w:p>
            <w:pPr>
              <w:jc w:val="right"/>
              <w:ind w:right="17"/>
              <w:spacing w:after="0"/>
              <w:rPr>
                <w:sz w:val="20"/>
                <w:szCs w:val="20"/>
                <w:color w:val="auto"/>
              </w:rPr>
            </w:pPr>
            <w:r>
              <w:rPr>
                <w:rFonts w:ascii="Arial" w:cs="Arial" w:eastAsia="Arial" w:hAnsi="Arial"/>
                <w:sz w:val="13"/>
                <w:szCs w:val="13"/>
                <w:b w:val="1"/>
                <w:bCs w:val="1"/>
                <w:color w:val="FFFFFF"/>
              </w:rPr>
              <w:t>Common stock</w:t>
            </w:r>
          </w:p>
        </w:tc>
        <w:tc>
          <w:tcPr>
            <w:tcW w:w="580" w:type="dxa"/>
            <w:vAlign w:val="bottom"/>
            <w:shd w:val="clear" w:color="auto" w:fill="232F84"/>
          </w:tcPr>
          <w:p>
            <w:pPr>
              <w:spacing w:after="0"/>
              <w:rPr>
                <w:sz w:val="24"/>
                <w:szCs w:val="24"/>
                <w:color w:val="auto"/>
              </w:rPr>
            </w:pPr>
          </w:p>
        </w:tc>
        <w:tc>
          <w:tcPr>
            <w:tcW w:w="80" w:type="dxa"/>
            <w:vAlign w:val="bottom"/>
            <w:shd w:val="clear" w:color="auto" w:fill="232F84"/>
          </w:tcPr>
          <w:p>
            <w:pPr>
              <w:spacing w:after="0"/>
              <w:rPr>
                <w:sz w:val="24"/>
                <w:szCs w:val="24"/>
                <w:color w:val="auto"/>
              </w:rPr>
            </w:pPr>
          </w:p>
        </w:tc>
        <w:tc>
          <w:tcPr>
            <w:tcW w:w="100" w:type="dxa"/>
            <w:vAlign w:val="bottom"/>
            <w:shd w:val="clear" w:color="auto" w:fill="232F84"/>
          </w:tcPr>
          <w:p>
            <w:pPr>
              <w:spacing w:after="0"/>
              <w:rPr>
                <w:sz w:val="24"/>
                <w:szCs w:val="24"/>
                <w:color w:val="auto"/>
              </w:rPr>
            </w:pPr>
          </w:p>
        </w:tc>
        <w:tc>
          <w:tcPr>
            <w:tcW w:w="1100" w:type="dxa"/>
            <w:vAlign w:val="bottom"/>
            <w:shd w:val="clear" w:color="auto" w:fill="232F84"/>
          </w:tcPr>
          <w:p>
            <w:pPr>
              <w:spacing w:after="0"/>
              <w:rPr>
                <w:sz w:val="24"/>
                <w:szCs w:val="24"/>
                <w:color w:val="auto"/>
              </w:rPr>
            </w:pPr>
          </w:p>
        </w:tc>
        <w:tc>
          <w:tcPr>
            <w:tcW w:w="120" w:type="dxa"/>
            <w:vAlign w:val="bottom"/>
            <w:shd w:val="clear" w:color="auto" w:fill="232F84"/>
          </w:tcPr>
          <w:p>
            <w:pPr>
              <w:spacing w:after="0"/>
              <w:rPr>
                <w:sz w:val="24"/>
                <w:szCs w:val="24"/>
                <w:color w:val="auto"/>
              </w:rPr>
            </w:pPr>
          </w:p>
        </w:tc>
        <w:tc>
          <w:tcPr>
            <w:tcW w:w="1080" w:type="dxa"/>
            <w:vAlign w:val="bottom"/>
            <w:shd w:val="clear" w:color="auto" w:fill="232F84"/>
          </w:tcPr>
          <w:p>
            <w:pPr>
              <w:spacing w:after="0"/>
              <w:rPr>
                <w:sz w:val="24"/>
                <w:szCs w:val="24"/>
                <w:color w:val="auto"/>
              </w:rPr>
            </w:pPr>
          </w:p>
        </w:tc>
        <w:tc>
          <w:tcPr>
            <w:tcW w:w="1200" w:type="dxa"/>
            <w:vAlign w:val="bottom"/>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w w:val="98"/>
              </w:rPr>
              <w:t>Accumulated other</w:t>
            </w:r>
          </w:p>
        </w:tc>
        <w:tc>
          <w:tcPr>
            <w:tcW w:w="80" w:type="dxa"/>
            <w:vAlign w:val="bottom"/>
            <w:shd w:val="clear" w:color="auto" w:fill="232F84"/>
          </w:tcPr>
          <w:p>
            <w:pPr>
              <w:spacing w:after="0"/>
              <w:rPr>
                <w:sz w:val="24"/>
                <w:szCs w:val="24"/>
                <w:color w:val="auto"/>
              </w:rPr>
            </w:pPr>
          </w:p>
        </w:tc>
        <w:tc>
          <w:tcPr>
            <w:tcW w:w="1120" w:type="dxa"/>
            <w:vAlign w:val="bottom"/>
            <w:shd w:val="clear" w:color="auto" w:fill="232F84"/>
          </w:tcPr>
          <w:p>
            <w:pPr>
              <w:spacing w:after="0"/>
              <w:rPr>
                <w:sz w:val="24"/>
                <w:szCs w:val="24"/>
                <w:color w:val="auto"/>
              </w:rPr>
            </w:pPr>
          </w:p>
        </w:tc>
        <w:tc>
          <w:tcPr>
            <w:tcW w:w="440" w:type="dxa"/>
            <w:vAlign w:val="bottom"/>
            <w:shd w:val="clear" w:color="auto" w:fill="232F84"/>
          </w:tcPr>
          <w:p>
            <w:pPr>
              <w:spacing w:after="0"/>
              <w:rPr>
                <w:sz w:val="24"/>
                <w:szCs w:val="24"/>
                <w:color w:val="auto"/>
              </w:rPr>
            </w:pPr>
          </w:p>
        </w:tc>
        <w:tc>
          <w:tcPr>
            <w:tcW w:w="760" w:type="dxa"/>
            <w:vAlign w:val="bottom"/>
            <w:shd w:val="clear" w:color="auto" w:fill="232F84"/>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940" w:type="dxa"/>
            <w:vAlign w:val="bottom"/>
            <w:tcBorders>
              <w:bottom w:val="single" w:sz="8" w:color="232F84"/>
            </w:tcBorders>
            <w:vMerge w:val="continue"/>
            <w:shd w:val="clear" w:color="auto" w:fill="232F84"/>
          </w:tcPr>
          <w:p>
            <w:pPr>
              <w:spacing w:after="0"/>
              <w:rPr>
                <w:sz w:val="10"/>
                <w:szCs w:val="10"/>
                <w:color w:val="auto"/>
              </w:rPr>
            </w:pPr>
          </w:p>
        </w:tc>
        <w:tc>
          <w:tcPr>
            <w:tcW w:w="1640" w:type="dxa"/>
            <w:vAlign w:val="bottom"/>
            <w:tcBorders>
              <w:bottom w:val="single" w:sz="8" w:color="43C0B9"/>
            </w:tcBorders>
            <w:gridSpan w:val="2"/>
            <w:vMerge w:val="continue"/>
            <w:shd w:val="clear" w:color="auto" w:fill="232F84"/>
          </w:tcPr>
          <w:p>
            <w:pPr>
              <w:spacing w:after="0"/>
              <w:rPr>
                <w:sz w:val="10"/>
                <w:szCs w:val="10"/>
                <w:color w:val="auto"/>
              </w:rPr>
            </w:pPr>
          </w:p>
        </w:tc>
        <w:tc>
          <w:tcPr>
            <w:tcW w:w="580" w:type="dxa"/>
            <w:vAlign w:val="bottom"/>
            <w:tcBorders>
              <w:bottom w:val="single" w:sz="8" w:color="43C0B9"/>
            </w:tcBorders>
            <w:shd w:val="clear" w:color="auto" w:fill="232F84"/>
          </w:tcPr>
          <w:p>
            <w:pPr>
              <w:spacing w:after="0"/>
              <w:rPr>
                <w:sz w:val="10"/>
                <w:szCs w:val="10"/>
                <w:color w:val="auto"/>
              </w:rPr>
            </w:pPr>
          </w:p>
        </w:tc>
        <w:tc>
          <w:tcPr>
            <w:tcW w:w="80" w:type="dxa"/>
            <w:vAlign w:val="bottom"/>
            <w:tcBorders>
              <w:bottom w:val="single" w:sz="8" w:color="232F84"/>
            </w:tcBorders>
            <w:shd w:val="clear" w:color="auto" w:fill="232F84"/>
          </w:tcPr>
          <w:p>
            <w:pPr>
              <w:spacing w:after="0"/>
              <w:rPr>
                <w:sz w:val="10"/>
                <w:szCs w:val="10"/>
                <w:color w:val="auto"/>
              </w:rPr>
            </w:pPr>
          </w:p>
        </w:tc>
        <w:tc>
          <w:tcPr>
            <w:tcW w:w="100" w:type="dxa"/>
            <w:vAlign w:val="bottom"/>
            <w:tcBorders>
              <w:bottom w:val="single" w:sz="8" w:color="232F84"/>
            </w:tcBorders>
            <w:shd w:val="clear" w:color="auto" w:fill="232F84"/>
          </w:tcPr>
          <w:p>
            <w:pPr>
              <w:spacing w:after="0"/>
              <w:rPr>
                <w:sz w:val="10"/>
                <w:szCs w:val="10"/>
                <w:color w:val="auto"/>
              </w:rPr>
            </w:pPr>
          </w:p>
        </w:tc>
        <w:tc>
          <w:tcPr>
            <w:tcW w:w="1100" w:type="dxa"/>
            <w:vAlign w:val="bottom"/>
            <w:tcBorders>
              <w:bottom w:val="single" w:sz="8" w:color="232F84"/>
            </w:tcBorders>
            <w:shd w:val="clear" w:color="auto" w:fill="232F84"/>
          </w:tcPr>
          <w:p>
            <w:pPr>
              <w:jc w:val="right"/>
              <w:spacing w:after="0" w:line="110" w:lineRule="exact"/>
              <w:rPr>
                <w:sz w:val="20"/>
                <w:szCs w:val="20"/>
                <w:color w:val="auto"/>
              </w:rPr>
            </w:pPr>
            <w:r>
              <w:rPr>
                <w:rFonts w:ascii="Arial" w:cs="Arial" w:eastAsia="Arial" w:hAnsi="Arial"/>
                <w:sz w:val="12"/>
                <w:szCs w:val="12"/>
                <w:b w:val="1"/>
                <w:bCs w:val="1"/>
                <w:color w:val="FFFFFF"/>
              </w:rPr>
              <w:t>Additional paid-in</w:t>
            </w:r>
          </w:p>
        </w:tc>
        <w:tc>
          <w:tcPr>
            <w:tcW w:w="120" w:type="dxa"/>
            <w:vAlign w:val="bottom"/>
            <w:tcBorders>
              <w:bottom w:val="single" w:sz="8" w:color="232F84"/>
            </w:tcBorders>
            <w:shd w:val="clear" w:color="auto" w:fill="232F84"/>
          </w:tcPr>
          <w:p>
            <w:pPr>
              <w:spacing w:after="0"/>
              <w:rPr>
                <w:sz w:val="10"/>
                <w:szCs w:val="10"/>
                <w:color w:val="auto"/>
              </w:rPr>
            </w:pPr>
          </w:p>
        </w:tc>
        <w:tc>
          <w:tcPr>
            <w:tcW w:w="1080" w:type="dxa"/>
            <w:vAlign w:val="bottom"/>
            <w:tcBorders>
              <w:bottom w:val="single" w:sz="8" w:color="232F84"/>
            </w:tcBorders>
            <w:shd w:val="clear" w:color="auto" w:fill="232F84"/>
          </w:tcPr>
          <w:p>
            <w:pPr>
              <w:jc w:val="right"/>
              <w:spacing w:after="0" w:line="110" w:lineRule="exact"/>
              <w:rPr>
                <w:sz w:val="20"/>
                <w:szCs w:val="20"/>
                <w:color w:val="auto"/>
              </w:rPr>
            </w:pPr>
            <w:r>
              <w:rPr>
                <w:rFonts w:ascii="Arial" w:cs="Arial" w:eastAsia="Arial" w:hAnsi="Arial"/>
                <w:sz w:val="12"/>
                <w:szCs w:val="12"/>
                <w:b w:val="1"/>
                <w:bCs w:val="1"/>
                <w:color w:val="FFFFFF"/>
              </w:rPr>
              <w:t>Notes receivable</w:t>
            </w:r>
          </w:p>
        </w:tc>
        <w:tc>
          <w:tcPr>
            <w:tcW w:w="160" w:type="dxa"/>
            <w:vAlign w:val="bottom"/>
            <w:tcBorders>
              <w:bottom w:val="single" w:sz="8" w:color="232F84"/>
            </w:tcBorders>
            <w:shd w:val="clear" w:color="auto" w:fill="232F84"/>
          </w:tcPr>
          <w:p>
            <w:pPr>
              <w:spacing w:after="0"/>
              <w:rPr>
                <w:sz w:val="10"/>
                <w:szCs w:val="10"/>
                <w:color w:val="auto"/>
              </w:rPr>
            </w:pPr>
          </w:p>
        </w:tc>
        <w:tc>
          <w:tcPr>
            <w:tcW w:w="1040" w:type="dxa"/>
            <w:vAlign w:val="bottom"/>
            <w:tcBorders>
              <w:bottom w:val="single" w:sz="8" w:color="232F84"/>
            </w:tcBorders>
            <w:shd w:val="clear" w:color="auto" w:fill="232F84"/>
          </w:tcPr>
          <w:p>
            <w:pPr>
              <w:jc w:val="right"/>
              <w:spacing w:after="0" w:line="110" w:lineRule="exact"/>
              <w:rPr>
                <w:sz w:val="20"/>
                <w:szCs w:val="20"/>
                <w:color w:val="auto"/>
              </w:rPr>
            </w:pPr>
            <w:r>
              <w:rPr>
                <w:rFonts w:ascii="Arial" w:cs="Arial" w:eastAsia="Arial" w:hAnsi="Arial"/>
                <w:sz w:val="12"/>
                <w:szCs w:val="12"/>
                <w:b w:val="1"/>
                <w:bCs w:val="1"/>
                <w:color w:val="FFFFFF"/>
              </w:rPr>
              <w:t>comprehensive</w:t>
            </w:r>
          </w:p>
        </w:tc>
        <w:tc>
          <w:tcPr>
            <w:tcW w:w="80" w:type="dxa"/>
            <w:vAlign w:val="bottom"/>
            <w:tcBorders>
              <w:bottom w:val="single" w:sz="8" w:color="232F84"/>
            </w:tcBorders>
            <w:shd w:val="clear" w:color="auto" w:fill="232F84"/>
          </w:tcPr>
          <w:p>
            <w:pPr>
              <w:spacing w:after="0"/>
              <w:rPr>
                <w:sz w:val="10"/>
                <w:szCs w:val="10"/>
                <w:color w:val="auto"/>
              </w:rPr>
            </w:pPr>
          </w:p>
        </w:tc>
        <w:tc>
          <w:tcPr>
            <w:tcW w:w="1120" w:type="dxa"/>
            <w:vAlign w:val="bottom"/>
            <w:tcBorders>
              <w:bottom w:val="single" w:sz="8" w:color="232F84"/>
            </w:tcBorders>
            <w:shd w:val="clear" w:color="auto" w:fill="232F84"/>
          </w:tcPr>
          <w:p>
            <w:pPr>
              <w:spacing w:after="0"/>
              <w:rPr>
                <w:sz w:val="10"/>
                <w:szCs w:val="10"/>
                <w:color w:val="auto"/>
              </w:rPr>
            </w:pPr>
          </w:p>
        </w:tc>
        <w:tc>
          <w:tcPr>
            <w:tcW w:w="1200" w:type="dxa"/>
            <w:vAlign w:val="bottom"/>
            <w:tcBorders>
              <w:bottom w:val="single" w:sz="8" w:color="232F84"/>
            </w:tcBorders>
            <w:gridSpan w:val="2"/>
            <w:shd w:val="clear" w:color="auto" w:fill="232F84"/>
          </w:tcPr>
          <w:p>
            <w:pPr>
              <w:jc w:val="right"/>
              <w:spacing w:after="0" w:line="110" w:lineRule="exact"/>
              <w:rPr>
                <w:sz w:val="20"/>
                <w:szCs w:val="20"/>
                <w:color w:val="auto"/>
              </w:rPr>
            </w:pPr>
            <w:r>
              <w:rPr>
                <w:rFonts w:ascii="Arial" w:cs="Arial" w:eastAsia="Arial" w:hAnsi="Arial"/>
                <w:sz w:val="12"/>
                <w:szCs w:val="12"/>
                <w:b w:val="1"/>
                <w:bCs w:val="1"/>
                <w:color w:val="FFFFFF"/>
              </w:rPr>
              <w:t>Total shareholders'</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3"/>
                <w:szCs w:val="13"/>
                <w:b w:val="1"/>
                <w:bCs w:val="1"/>
                <w:color w:val="FFFFFF"/>
              </w:rPr>
              <w:t>shares and per share data)</w:t>
            </w:r>
          </w:p>
        </w:tc>
        <w:tc>
          <w:tcPr>
            <w:tcW w:w="110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3"/>
                <w:szCs w:val="13"/>
                <w:b w:val="1"/>
                <w:bCs w:val="1"/>
                <w:color w:val="FFFFFF"/>
              </w:rPr>
              <w:t>Shares</w:t>
            </w:r>
          </w:p>
        </w:tc>
        <w:tc>
          <w:tcPr>
            <w:tcW w:w="540" w:type="dxa"/>
            <w:vAlign w:val="bottom"/>
            <w:tcBorders>
              <w:bottom w:val="single" w:sz="8" w:color="232F84"/>
            </w:tcBorders>
            <w:shd w:val="clear" w:color="auto" w:fill="232F84"/>
          </w:tcPr>
          <w:p>
            <w:pPr>
              <w:spacing w:after="0"/>
              <w:rPr>
                <w:sz w:val="15"/>
                <w:szCs w:val="15"/>
                <w:color w:val="auto"/>
              </w:rPr>
            </w:pPr>
          </w:p>
        </w:tc>
        <w:tc>
          <w:tcPr>
            <w:tcW w:w="660" w:type="dxa"/>
            <w:vAlign w:val="bottom"/>
            <w:tcBorders>
              <w:bottom w:val="single" w:sz="8" w:color="232F84"/>
            </w:tcBorders>
            <w:gridSpan w:val="2"/>
            <w:shd w:val="clear" w:color="auto" w:fill="232F84"/>
          </w:tcPr>
          <w:p>
            <w:pPr>
              <w:ind w:left="80"/>
              <w:spacing w:after="0"/>
              <w:rPr>
                <w:sz w:val="20"/>
                <w:szCs w:val="20"/>
                <w:color w:val="auto"/>
              </w:rPr>
            </w:pPr>
            <w:r>
              <w:rPr>
                <w:rFonts w:ascii="Arial" w:cs="Arial" w:eastAsia="Arial" w:hAnsi="Arial"/>
                <w:sz w:val="13"/>
                <w:szCs w:val="13"/>
                <w:b w:val="1"/>
                <w:bCs w:val="1"/>
                <w:color w:val="FFFFFF"/>
              </w:rPr>
              <w:t>Amount</w:t>
            </w:r>
          </w:p>
        </w:tc>
        <w:tc>
          <w:tcPr>
            <w:tcW w:w="100" w:type="dxa"/>
            <w:vAlign w:val="bottom"/>
            <w:tcBorders>
              <w:bottom w:val="single" w:sz="8" w:color="232F84"/>
            </w:tcBorders>
            <w:shd w:val="clear" w:color="auto" w:fill="232F84"/>
          </w:tcPr>
          <w:p>
            <w:pPr>
              <w:spacing w:after="0"/>
              <w:rPr>
                <w:sz w:val="15"/>
                <w:szCs w:val="15"/>
                <w:color w:val="auto"/>
              </w:rPr>
            </w:pPr>
          </w:p>
        </w:tc>
        <w:tc>
          <w:tcPr>
            <w:tcW w:w="110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3"/>
                <w:szCs w:val="13"/>
                <w:b w:val="1"/>
                <w:bCs w:val="1"/>
                <w:color w:val="FFFFFF"/>
              </w:rPr>
              <w:t>capital</w:t>
            </w:r>
          </w:p>
        </w:tc>
        <w:tc>
          <w:tcPr>
            <w:tcW w:w="1200" w:type="dxa"/>
            <w:vAlign w:val="bottom"/>
            <w:tcBorders>
              <w:bottom w:val="single" w:sz="8" w:color="232F84"/>
            </w:tcBorders>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rPr>
              <w:t>from shareholders</w:t>
            </w:r>
          </w:p>
        </w:tc>
        <w:tc>
          <w:tcPr>
            <w:tcW w:w="160" w:type="dxa"/>
            <w:vAlign w:val="bottom"/>
            <w:tcBorders>
              <w:bottom w:val="single" w:sz="8" w:color="232F84"/>
            </w:tcBorders>
            <w:shd w:val="clear" w:color="auto" w:fill="232F84"/>
          </w:tcPr>
          <w:p>
            <w:pPr>
              <w:spacing w:after="0"/>
              <w:rPr>
                <w:sz w:val="15"/>
                <w:szCs w:val="15"/>
                <w:color w:val="auto"/>
              </w:rPr>
            </w:pPr>
          </w:p>
        </w:tc>
        <w:tc>
          <w:tcPr>
            <w:tcW w:w="104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3"/>
                <w:szCs w:val="13"/>
                <w:b w:val="1"/>
                <w:bCs w:val="1"/>
                <w:color w:val="FFFFFF"/>
              </w:rPr>
              <w:t>loss</w:t>
            </w:r>
          </w:p>
        </w:tc>
        <w:tc>
          <w:tcPr>
            <w:tcW w:w="80" w:type="dxa"/>
            <w:vAlign w:val="bottom"/>
            <w:tcBorders>
              <w:bottom w:val="single" w:sz="8" w:color="232F84"/>
            </w:tcBorders>
            <w:shd w:val="clear" w:color="auto" w:fill="232F84"/>
          </w:tcPr>
          <w:p>
            <w:pPr>
              <w:spacing w:after="0"/>
              <w:rPr>
                <w:sz w:val="15"/>
                <w:szCs w:val="15"/>
                <w:color w:val="auto"/>
              </w:rPr>
            </w:pPr>
          </w:p>
        </w:tc>
        <w:tc>
          <w:tcPr>
            <w:tcW w:w="112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3"/>
                <w:szCs w:val="13"/>
                <w:b w:val="1"/>
                <w:bCs w:val="1"/>
                <w:color w:val="FFFFFF"/>
                <w:w w:val="95"/>
              </w:rPr>
              <w:t>Retained earnings</w:t>
            </w:r>
          </w:p>
        </w:tc>
        <w:tc>
          <w:tcPr>
            <w:tcW w:w="440" w:type="dxa"/>
            <w:vAlign w:val="bottom"/>
            <w:tcBorders>
              <w:bottom w:val="single" w:sz="8" w:color="232F84"/>
            </w:tcBorders>
            <w:shd w:val="clear" w:color="auto" w:fill="232F84"/>
          </w:tcPr>
          <w:p>
            <w:pPr>
              <w:spacing w:after="0"/>
              <w:rPr>
                <w:sz w:val="15"/>
                <w:szCs w:val="15"/>
                <w:color w:val="auto"/>
              </w:rPr>
            </w:pPr>
          </w:p>
        </w:tc>
        <w:tc>
          <w:tcPr>
            <w:tcW w:w="76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Balance at October 31, 2019</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63,386,251</w:t>
            </w:r>
          </w:p>
        </w:tc>
        <w:tc>
          <w:tcPr>
            <w:tcW w:w="540" w:type="dxa"/>
            <w:vAlign w:val="bottom"/>
            <w:tcBorders>
              <w:bottom w:val="single" w:sz="8" w:color="43C0B9"/>
            </w:tcBorders>
            <w:shd w:val="clear" w:color="auto" w:fill="43C0B9"/>
          </w:tcPr>
          <w:p>
            <w:pPr>
              <w:jc w:val="right"/>
              <w:ind w:right="3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3C0B9"/>
            </w:tcBorders>
            <w:shd w:val="clear" w:color="auto" w:fill="43C0B9"/>
          </w:tcPr>
          <w:p>
            <w:pPr>
              <w:jc w:val="right"/>
              <w:ind w:right="17"/>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43C0B9"/>
            </w:tcBorders>
            <w:shd w:val="clear" w:color="auto" w:fill="43C0B9"/>
          </w:tcPr>
          <w:p>
            <w:pPr>
              <w:spacing w:after="0"/>
              <w:rPr>
                <w:sz w:val="15"/>
                <w:szCs w:val="15"/>
                <w:color w:val="auto"/>
              </w:rPr>
            </w:pPr>
          </w:p>
        </w:tc>
        <w:tc>
          <w:tcPr>
            <w:tcW w:w="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139.7</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(0.1)</w:t>
            </w:r>
          </w:p>
        </w:tc>
        <w:tc>
          <w:tcPr>
            <w:tcW w:w="160" w:type="dxa"/>
            <w:vAlign w:val="bottom"/>
            <w:tcBorders>
              <w:bottom w:val="single" w:sz="8" w:color="43C0B9"/>
            </w:tcBorders>
            <w:shd w:val="clear" w:color="auto" w:fill="43C0B9"/>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239.3</w:t>
            </w:r>
          </w:p>
        </w:tc>
        <w:tc>
          <w:tcPr>
            <w:tcW w:w="440" w:type="dxa"/>
            <w:vAlign w:val="bottom"/>
            <w:tcBorders>
              <w:bottom w:val="single" w:sz="8" w:color="43C0B9"/>
            </w:tcBorders>
            <w:shd w:val="clear" w:color="auto" w:fill="43C0B9"/>
          </w:tcPr>
          <w:p>
            <w:pPr>
              <w:jc w:val="right"/>
              <w:ind w:right="298"/>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379.0</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Dividends declared ($0.12 per share)</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(7.5)</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5"/>
                <w:szCs w:val="15"/>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5"/>
                <w:szCs w:val="15"/>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43C0B9"/>
            </w:tcBorders>
            <w:shd w:val="clear" w:color="auto" w:fill="43C0B9"/>
          </w:tcPr>
          <w:p>
            <w:pPr>
              <w:spacing w:after="0"/>
              <w:rPr>
                <w:sz w:val="15"/>
                <w:szCs w:val="15"/>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3"/>
                <w:szCs w:val="13"/>
                <w:color w:val="auto"/>
              </w:rPr>
              <w:t>17,000</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Net income</w:t>
            </w:r>
          </w:p>
        </w:tc>
        <w:tc>
          <w:tcPr>
            <w:tcW w:w="1100" w:type="dxa"/>
            <w:vAlign w:val="bottom"/>
            <w:tcBorders>
              <w:bottom w:val="single" w:sz="8" w:color="43C0B9"/>
            </w:tcBorders>
            <w:shd w:val="clear" w:color="auto" w:fill="43C0B9"/>
          </w:tcPr>
          <w:p>
            <w:pPr>
              <w:spacing w:after="0"/>
              <w:rPr>
                <w:sz w:val="17"/>
                <w:szCs w:val="17"/>
                <w:color w:val="auto"/>
              </w:rPr>
            </w:pPr>
          </w:p>
        </w:tc>
        <w:tc>
          <w:tcPr>
            <w:tcW w:w="540" w:type="dxa"/>
            <w:vAlign w:val="bottom"/>
            <w:tcBorders>
              <w:bottom w:val="single" w:sz="8" w:color="43C0B9"/>
            </w:tcBorders>
            <w:shd w:val="clear" w:color="auto" w:fill="43C0B9"/>
          </w:tcPr>
          <w:p>
            <w:pPr>
              <w:spacing w:after="0"/>
              <w:rPr>
                <w:sz w:val="17"/>
                <w:szCs w:val="17"/>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7"/>
                <w:szCs w:val="17"/>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43C0B9"/>
            </w:tcBorders>
            <w:shd w:val="clear" w:color="auto" w:fill="43C0B9"/>
          </w:tcPr>
          <w:p>
            <w:pPr>
              <w:spacing w:after="0"/>
              <w:rPr>
                <w:sz w:val="17"/>
                <w:szCs w:val="17"/>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7"/>
                <w:szCs w:val="17"/>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7"/>
                <w:szCs w:val="17"/>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1.4</w:t>
            </w:r>
          </w:p>
        </w:tc>
        <w:tc>
          <w:tcPr>
            <w:tcW w:w="440" w:type="dxa"/>
            <w:vAlign w:val="bottom"/>
            <w:tcBorders>
              <w:bottom w:val="single" w:sz="8" w:color="43C0B9"/>
            </w:tcBorders>
            <w:shd w:val="clear" w:color="auto" w:fill="43C0B9"/>
          </w:tcPr>
          <w:p>
            <w:pPr>
              <w:spacing w:after="0"/>
              <w:rPr>
                <w:sz w:val="17"/>
                <w:szCs w:val="17"/>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7"/>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Balance at January 31, 2020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63,403,251</w:t>
            </w:r>
          </w:p>
        </w:tc>
        <w:tc>
          <w:tcPr>
            <w:tcW w:w="540" w:type="dxa"/>
            <w:vAlign w:val="bottom"/>
            <w:tcBorders>
              <w:top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0.1</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233.2</w:t>
            </w:r>
          </w:p>
        </w:tc>
        <w:tc>
          <w:tcPr>
            <w:tcW w:w="440" w:type="dxa"/>
            <w:vAlign w:val="bottom"/>
            <w:tcBorders>
              <w:top w:val="single" w:sz="8" w:color="auto"/>
            </w:tcBorders>
          </w:tcPr>
          <w:p>
            <w:pPr>
              <w:jc w:val="right"/>
              <w:ind w:right="298"/>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373.0</w:t>
            </w:r>
          </w:p>
        </w:tc>
        <w:tc>
          <w:tcPr>
            <w:tcW w:w="0" w:type="dxa"/>
            <w:vAlign w:val="bottom"/>
          </w:tcPr>
          <w:p>
            <w:pPr>
              <w:spacing w:after="0"/>
              <w:rPr>
                <w:sz w:val="1"/>
                <w:szCs w:val="1"/>
                <w:color w:val="auto"/>
              </w:rPr>
            </w:pPr>
          </w:p>
        </w:tc>
      </w:tr>
      <w:tr>
        <w:trPr>
          <w:trHeight w:val="29"/>
        </w:trPr>
        <w:tc>
          <w:tcPr>
            <w:tcW w:w="2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0.2</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5"/>
                <w:szCs w:val="15"/>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5"/>
                <w:szCs w:val="15"/>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43C0B9"/>
            </w:tcBorders>
            <w:shd w:val="clear" w:color="auto" w:fill="43C0B9"/>
          </w:tcPr>
          <w:p>
            <w:pPr>
              <w:spacing w:after="0"/>
              <w:rPr>
                <w:sz w:val="15"/>
                <w:szCs w:val="15"/>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Reclassification of liability-based awards</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Purchase and retirement of stock</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(306,000)</w:t>
            </w:r>
          </w:p>
        </w:tc>
        <w:tc>
          <w:tcPr>
            <w:tcW w:w="54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5"/>
                <w:szCs w:val="15"/>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5"/>
                <w:szCs w:val="15"/>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(3.7)</w:t>
            </w:r>
          </w:p>
        </w:tc>
        <w:tc>
          <w:tcPr>
            <w:tcW w:w="440" w:type="dxa"/>
            <w:vAlign w:val="bottom"/>
            <w:tcBorders>
              <w:bottom w:val="single" w:sz="8" w:color="43C0B9"/>
            </w:tcBorders>
            <w:shd w:val="clear" w:color="auto" w:fill="43C0B9"/>
          </w:tcPr>
          <w:p>
            <w:pPr>
              <w:spacing w:after="0"/>
              <w:rPr>
                <w:sz w:val="15"/>
                <w:szCs w:val="15"/>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(14.8)</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Other comprehensive loss</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3C0B9"/>
            </w:tcBorders>
            <w:shd w:val="clear" w:color="auto" w:fill="43C0B9"/>
          </w:tcPr>
          <w:p>
            <w:pPr>
              <w:spacing w:after="0"/>
              <w:rPr>
                <w:sz w:val="17"/>
                <w:szCs w:val="17"/>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7"/>
                <w:szCs w:val="17"/>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43C0B9"/>
            </w:tcBorders>
            <w:shd w:val="clear" w:color="auto" w:fill="43C0B9"/>
          </w:tcPr>
          <w:p>
            <w:pPr>
              <w:spacing w:after="0"/>
              <w:rPr>
                <w:sz w:val="17"/>
                <w:szCs w:val="17"/>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7"/>
                <w:szCs w:val="17"/>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43C0B9"/>
            </w:tcBorders>
            <w:shd w:val="clear" w:color="auto" w:fill="43C0B9"/>
          </w:tcPr>
          <w:p>
            <w:pPr>
              <w:spacing w:after="0"/>
              <w:rPr>
                <w:sz w:val="17"/>
                <w:szCs w:val="17"/>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43C0B9"/>
            </w:tcBorders>
            <w:shd w:val="clear" w:color="auto" w:fill="43C0B9"/>
          </w:tcPr>
          <w:p>
            <w:pPr>
              <w:spacing w:after="0"/>
              <w:rPr>
                <w:sz w:val="17"/>
                <w:szCs w:val="17"/>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7"/>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Balance at April 30, 2020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63,097,251</w:t>
            </w:r>
          </w:p>
        </w:tc>
        <w:tc>
          <w:tcPr>
            <w:tcW w:w="540" w:type="dxa"/>
            <w:vAlign w:val="bottom"/>
            <w:tcBorders>
              <w:top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0.1</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140.3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214.7</w:t>
            </w:r>
          </w:p>
        </w:tc>
        <w:tc>
          <w:tcPr>
            <w:tcW w:w="440" w:type="dxa"/>
            <w:vAlign w:val="bottom"/>
            <w:tcBorders>
              <w:top w:val="single" w:sz="8" w:color="auto"/>
            </w:tcBorders>
          </w:tcPr>
          <w:p>
            <w:pPr>
              <w:jc w:val="right"/>
              <w:ind w:right="298"/>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354.9</w:t>
            </w:r>
          </w:p>
        </w:tc>
        <w:tc>
          <w:tcPr>
            <w:tcW w:w="0" w:type="dxa"/>
            <w:vAlign w:val="bottom"/>
          </w:tcPr>
          <w:p>
            <w:pPr>
              <w:spacing w:after="0"/>
              <w:rPr>
                <w:sz w:val="1"/>
                <w:szCs w:val="1"/>
                <w:color w:val="auto"/>
              </w:rPr>
            </w:pPr>
          </w:p>
        </w:tc>
      </w:tr>
      <w:tr>
        <w:trPr>
          <w:trHeight w:val="29"/>
        </w:trPr>
        <w:tc>
          <w:tcPr>
            <w:tcW w:w="2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43C0B9"/>
          </w:tcPr>
          <w:p>
            <w:pPr>
              <w:spacing w:after="0"/>
              <w:rPr>
                <w:sz w:val="15"/>
                <w:szCs w:val="15"/>
                <w:color w:val="auto"/>
              </w:rPr>
            </w:pPr>
          </w:p>
        </w:tc>
        <w:tc>
          <w:tcPr>
            <w:tcW w:w="1100" w:type="dxa"/>
            <w:vAlign w:val="bottom"/>
            <w:shd w:val="clear" w:color="auto" w:fill="43C0B9"/>
          </w:tcPr>
          <w:p>
            <w:pPr>
              <w:spacing w:after="0"/>
              <w:rPr>
                <w:sz w:val="15"/>
                <w:szCs w:val="15"/>
                <w:color w:val="auto"/>
              </w:rPr>
            </w:pPr>
          </w:p>
        </w:tc>
        <w:tc>
          <w:tcPr>
            <w:tcW w:w="540" w:type="dxa"/>
            <w:vAlign w:val="bottom"/>
            <w:shd w:val="clear" w:color="auto" w:fill="43C0B9"/>
          </w:tcPr>
          <w:p>
            <w:pPr>
              <w:spacing w:after="0"/>
              <w:rPr>
                <w:sz w:val="15"/>
                <w:szCs w:val="15"/>
                <w:color w:val="auto"/>
              </w:rPr>
            </w:pPr>
          </w:p>
        </w:tc>
        <w:tc>
          <w:tcPr>
            <w:tcW w:w="580" w:type="dxa"/>
            <w:vAlign w:val="bottom"/>
            <w:shd w:val="clear" w:color="auto" w:fill="43C0B9"/>
          </w:tcPr>
          <w:p>
            <w:pPr>
              <w:spacing w:after="0"/>
              <w:rPr>
                <w:sz w:val="15"/>
                <w:szCs w:val="15"/>
                <w:color w:val="auto"/>
              </w:rPr>
            </w:pPr>
          </w:p>
        </w:tc>
        <w:tc>
          <w:tcPr>
            <w:tcW w:w="80" w:type="dxa"/>
            <w:vAlign w:val="bottom"/>
            <w:shd w:val="clear" w:color="auto" w:fill="43C0B9"/>
          </w:tcPr>
          <w:p>
            <w:pPr>
              <w:spacing w:after="0"/>
              <w:rPr>
                <w:sz w:val="15"/>
                <w:szCs w:val="15"/>
                <w:color w:val="auto"/>
              </w:rPr>
            </w:pPr>
          </w:p>
        </w:tc>
        <w:tc>
          <w:tcPr>
            <w:tcW w:w="100" w:type="dxa"/>
            <w:vAlign w:val="bottom"/>
            <w:shd w:val="clear" w:color="auto" w:fill="43C0B9"/>
          </w:tcPr>
          <w:p>
            <w:pPr>
              <w:spacing w:after="0"/>
              <w:rPr>
                <w:sz w:val="15"/>
                <w:szCs w:val="15"/>
                <w:color w:val="auto"/>
              </w:rPr>
            </w:pPr>
          </w:p>
        </w:tc>
        <w:tc>
          <w:tcPr>
            <w:tcW w:w="1100" w:type="dxa"/>
            <w:vAlign w:val="bottom"/>
            <w:shd w:val="clear" w:color="auto" w:fill="43C0B9"/>
          </w:tcPr>
          <w:p>
            <w:pPr>
              <w:spacing w:after="0"/>
              <w:rPr>
                <w:sz w:val="15"/>
                <w:szCs w:val="15"/>
                <w:color w:val="auto"/>
              </w:rPr>
            </w:pPr>
          </w:p>
        </w:tc>
        <w:tc>
          <w:tcPr>
            <w:tcW w:w="120" w:type="dxa"/>
            <w:vAlign w:val="bottom"/>
            <w:shd w:val="clear" w:color="auto" w:fill="43C0B9"/>
          </w:tcPr>
          <w:p>
            <w:pPr>
              <w:spacing w:after="0"/>
              <w:rPr>
                <w:sz w:val="15"/>
                <w:szCs w:val="15"/>
                <w:color w:val="auto"/>
              </w:rPr>
            </w:pPr>
          </w:p>
        </w:tc>
        <w:tc>
          <w:tcPr>
            <w:tcW w:w="1080" w:type="dxa"/>
            <w:vAlign w:val="bottom"/>
            <w:shd w:val="clear" w:color="auto" w:fill="43C0B9"/>
          </w:tcPr>
          <w:p>
            <w:pPr>
              <w:spacing w:after="0"/>
              <w:rPr>
                <w:sz w:val="15"/>
                <w:szCs w:val="15"/>
                <w:color w:val="auto"/>
              </w:rPr>
            </w:pPr>
          </w:p>
        </w:tc>
        <w:tc>
          <w:tcPr>
            <w:tcW w:w="160" w:type="dxa"/>
            <w:vAlign w:val="bottom"/>
            <w:shd w:val="clear" w:color="auto" w:fill="43C0B9"/>
          </w:tcPr>
          <w:p>
            <w:pPr>
              <w:spacing w:after="0"/>
              <w:rPr>
                <w:sz w:val="15"/>
                <w:szCs w:val="15"/>
                <w:color w:val="auto"/>
              </w:rPr>
            </w:pPr>
          </w:p>
        </w:tc>
        <w:tc>
          <w:tcPr>
            <w:tcW w:w="1040" w:type="dxa"/>
            <w:vAlign w:val="bottom"/>
            <w:shd w:val="clear" w:color="auto" w:fill="43C0B9"/>
          </w:tcPr>
          <w:p>
            <w:pPr>
              <w:spacing w:after="0"/>
              <w:rPr>
                <w:sz w:val="15"/>
                <w:szCs w:val="15"/>
                <w:color w:val="auto"/>
              </w:rPr>
            </w:pPr>
          </w:p>
        </w:tc>
        <w:tc>
          <w:tcPr>
            <w:tcW w:w="80" w:type="dxa"/>
            <w:vAlign w:val="bottom"/>
            <w:shd w:val="clear" w:color="auto" w:fill="43C0B9"/>
          </w:tcPr>
          <w:p>
            <w:pPr>
              <w:spacing w:after="0"/>
              <w:rPr>
                <w:sz w:val="15"/>
                <w:szCs w:val="15"/>
                <w:color w:val="auto"/>
              </w:rPr>
            </w:pPr>
          </w:p>
        </w:tc>
        <w:tc>
          <w:tcPr>
            <w:tcW w:w="1120" w:type="dxa"/>
            <w:vAlign w:val="bottom"/>
            <w:shd w:val="clear" w:color="auto" w:fill="43C0B9"/>
          </w:tcPr>
          <w:p>
            <w:pPr>
              <w:spacing w:after="0"/>
              <w:rPr>
                <w:sz w:val="15"/>
                <w:szCs w:val="15"/>
                <w:color w:val="auto"/>
              </w:rPr>
            </w:pPr>
          </w:p>
        </w:tc>
        <w:tc>
          <w:tcPr>
            <w:tcW w:w="440" w:type="dxa"/>
            <w:vAlign w:val="bottom"/>
            <w:shd w:val="clear" w:color="auto" w:fill="43C0B9"/>
          </w:tcPr>
          <w:p>
            <w:pPr>
              <w:spacing w:after="0"/>
              <w:rPr>
                <w:sz w:val="15"/>
                <w:szCs w:val="15"/>
                <w:color w:val="auto"/>
              </w:rPr>
            </w:pPr>
          </w:p>
        </w:tc>
        <w:tc>
          <w:tcPr>
            <w:tcW w:w="760" w:type="dxa"/>
            <w:vAlign w:val="bottom"/>
            <w:shd w:val="clear" w:color="auto" w:fill="43C0B9"/>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Balance at October 31, 2020</w:t>
            </w:r>
          </w:p>
        </w:tc>
        <w:tc>
          <w:tcPr>
            <w:tcW w:w="1100" w:type="dxa"/>
            <w:vAlign w:val="bottom"/>
          </w:tcPr>
          <w:p>
            <w:pPr>
              <w:jc w:val="right"/>
              <w:spacing w:after="0"/>
              <w:rPr>
                <w:sz w:val="20"/>
                <w:szCs w:val="20"/>
                <w:color w:val="auto"/>
              </w:rPr>
            </w:pPr>
            <w:r>
              <w:rPr>
                <w:rFonts w:ascii="Arial" w:cs="Arial" w:eastAsia="Arial" w:hAnsi="Arial"/>
                <w:sz w:val="13"/>
                <w:szCs w:val="13"/>
                <w:color w:val="auto"/>
              </w:rPr>
              <w:t>70,550,922</w:t>
            </w: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222.8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(0.1)</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251.2</w:t>
            </w:r>
          </w:p>
        </w:tc>
        <w:tc>
          <w:tcPr>
            <w:tcW w:w="440" w:type="dxa"/>
            <w:vAlign w:val="bottom"/>
          </w:tcPr>
          <w:p>
            <w:pPr>
              <w:jc w:val="right"/>
              <w:ind w:right="298"/>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473.5</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0.8</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5"/>
                <w:szCs w:val="15"/>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5"/>
                <w:szCs w:val="15"/>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43C0B9"/>
            </w:tcBorders>
            <w:shd w:val="clear" w:color="auto" w:fill="43C0B9"/>
          </w:tcPr>
          <w:p>
            <w:pPr>
              <w:spacing w:after="0"/>
              <w:rPr>
                <w:sz w:val="15"/>
                <w:szCs w:val="15"/>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Repayment of stock option notes receivable</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Net income</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5"/>
                <w:szCs w:val="15"/>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5"/>
                <w:szCs w:val="15"/>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2.2</w:t>
            </w:r>
          </w:p>
        </w:tc>
        <w:tc>
          <w:tcPr>
            <w:tcW w:w="440" w:type="dxa"/>
            <w:vAlign w:val="bottom"/>
            <w:tcBorders>
              <w:bottom w:val="single" w:sz="8" w:color="43C0B9"/>
            </w:tcBorders>
            <w:shd w:val="clear" w:color="auto" w:fill="43C0B9"/>
          </w:tcPr>
          <w:p>
            <w:pPr>
              <w:spacing w:after="0"/>
              <w:rPr>
                <w:sz w:val="15"/>
                <w:szCs w:val="15"/>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9"/>
        </w:trPr>
        <w:tc>
          <w:tcPr>
            <w:tcW w:w="2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Balance at January 31, 2021</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70,550,922</w:t>
            </w:r>
          </w:p>
        </w:tc>
        <w:tc>
          <w:tcPr>
            <w:tcW w:w="540" w:type="dxa"/>
            <w:vAlign w:val="bottom"/>
            <w:tcBorders>
              <w:bottom w:val="single" w:sz="8" w:color="43C0B9"/>
            </w:tcBorders>
            <w:shd w:val="clear" w:color="auto" w:fill="43C0B9"/>
          </w:tcPr>
          <w:p>
            <w:pPr>
              <w:jc w:val="right"/>
              <w:ind w:right="3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3C0B9"/>
            </w:tcBorders>
            <w:shd w:val="clear" w:color="auto" w:fill="43C0B9"/>
          </w:tcPr>
          <w:p>
            <w:pPr>
              <w:jc w:val="right"/>
              <w:ind w:right="17"/>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43C0B9"/>
            </w:tcBorders>
            <w:shd w:val="clear" w:color="auto" w:fill="43C0B9"/>
          </w:tcPr>
          <w:p>
            <w:pPr>
              <w:spacing w:after="0"/>
              <w:rPr>
                <w:sz w:val="17"/>
                <w:szCs w:val="17"/>
                <w:color w:val="auto"/>
              </w:rPr>
            </w:pPr>
          </w:p>
        </w:tc>
        <w:tc>
          <w:tcPr>
            <w:tcW w:w="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223.6</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253.4</w:t>
            </w:r>
          </w:p>
        </w:tc>
        <w:tc>
          <w:tcPr>
            <w:tcW w:w="440" w:type="dxa"/>
            <w:vAlign w:val="bottom"/>
            <w:tcBorders>
              <w:bottom w:val="single" w:sz="8" w:color="43C0B9"/>
            </w:tcBorders>
            <w:shd w:val="clear" w:color="auto" w:fill="43C0B9"/>
          </w:tcPr>
          <w:p>
            <w:pPr>
              <w:jc w:val="right"/>
              <w:ind w:right="298"/>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477.1</w:t>
            </w:r>
          </w:p>
        </w:tc>
        <w:tc>
          <w:tcPr>
            <w:tcW w:w="0" w:type="dxa"/>
            <w:vAlign w:val="bottom"/>
          </w:tcPr>
          <w:p>
            <w:pPr>
              <w:spacing w:after="0"/>
              <w:rPr>
                <w:sz w:val="1"/>
                <w:szCs w:val="1"/>
                <w:color w:val="auto"/>
              </w:rPr>
            </w:pPr>
          </w:p>
        </w:tc>
      </w:tr>
      <w:tr>
        <w:trPr>
          <w:trHeight w:val="167"/>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Issuance of common stock for equity awards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5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0.7</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5"/>
                <w:szCs w:val="15"/>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5"/>
                <w:szCs w:val="15"/>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43C0B9"/>
            </w:tcBorders>
            <w:shd w:val="clear" w:color="auto" w:fill="43C0B9"/>
          </w:tcPr>
          <w:p>
            <w:pPr>
              <w:spacing w:after="0"/>
              <w:rPr>
                <w:sz w:val="15"/>
                <w:szCs w:val="15"/>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7.4</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30"/>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Other comprehensive loss</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3C0B9"/>
            </w:tcBorders>
            <w:shd w:val="clear" w:color="auto" w:fill="43C0B9"/>
          </w:tcPr>
          <w:p>
            <w:pPr>
              <w:spacing w:after="0"/>
              <w:rPr>
                <w:sz w:val="17"/>
                <w:szCs w:val="17"/>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7"/>
                <w:szCs w:val="17"/>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43C0B9"/>
            </w:tcBorders>
            <w:shd w:val="clear" w:color="auto" w:fill="43C0B9"/>
          </w:tcPr>
          <w:p>
            <w:pPr>
              <w:spacing w:after="0"/>
              <w:rPr>
                <w:sz w:val="17"/>
                <w:szCs w:val="17"/>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7"/>
                <w:szCs w:val="17"/>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(0.2)</w:t>
            </w:r>
          </w:p>
        </w:tc>
        <w:tc>
          <w:tcPr>
            <w:tcW w:w="80" w:type="dxa"/>
            <w:vAlign w:val="bottom"/>
            <w:tcBorders>
              <w:bottom w:val="single" w:sz="8" w:color="43C0B9"/>
            </w:tcBorders>
            <w:shd w:val="clear" w:color="auto" w:fill="43C0B9"/>
          </w:tcPr>
          <w:p>
            <w:pPr>
              <w:spacing w:after="0"/>
              <w:rPr>
                <w:sz w:val="17"/>
                <w:szCs w:val="17"/>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43C0B9"/>
            </w:tcBorders>
            <w:shd w:val="clear" w:color="auto" w:fill="43C0B9"/>
          </w:tcPr>
          <w:p>
            <w:pPr>
              <w:spacing w:after="0"/>
              <w:rPr>
                <w:sz w:val="17"/>
                <w:szCs w:val="17"/>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7"/>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Balance at April 30, 2021</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70,600,922</w:t>
            </w:r>
          </w:p>
        </w:tc>
        <w:tc>
          <w:tcPr>
            <w:tcW w:w="540" w:type="dxa"/>
            <w:vAlign w:val="bottom"/>
            <w:tcBorders>
              <w:top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0.1</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224.3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260.8</w:t>
            </w:r>
          </w:p>
        </w:tc>
        <w:tc>
          <w:tcPr>
            <w:tcW w:w="440" w:type="dxa"/>
            <w:vAlign w:val="bottom"/>
            <w:tcBorders>
              <w:top w:val="single" w:sz="8" w:color="auto"/>
            </w:tcBorders>
          </w:tcPr>
          <w:p>
            <w:pPr>
              <w:jc w:val="right"/>
              <w:ind w:right="298"/>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485.0</w:t>
            </w:r>
          </w:p>
        </w:tc>
        <w:tc>
          <w:tcPr>
            <w:tcW w:w="0" w:type="dxa"/>
            <w:vAlign w:val="bottom"/>
          </w:tcPr>
          <w:p>
            <w:pPr>
              <w:spacing w:after="0"/>
              <w:rPr>
                <w:sz w:val="1"/>
                <w:szCs w:val="1"/>
                <w:color w:val="auto"/>
              </w:rPr>
            </w:pPr>
          </w:p>
        </w:tc>
      </w:tr>
      <w:tr>
        <w:trPr>
          <w:trHeight w:val="30"/>
        </w:trPr>
        <w:tc>
          <w:tcPr>
            <w:tcW w:w="2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08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CONDENSED CONSOLIDATED STATEMENTS OF CASH FLOW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shd w:val="clear" w:color="auto" w:fill="232F84"/>
          </w:tcPr>
          <w:p>
            <w:pPr>
              <w:spacing w:after="0"/>
              <w:rPr>
                <w:sz w:val="15"/>
                <w:szCs w:val="15"/>
                <w:color w:val="auto"/>
              </w:rPr>
            </w:pPr>
          </w:p>
        </w:tc>
        <w:tc>
          <w:tcPr>
            <w:tcW w:w="560" w:type="dxa"/>
            <w:vAlign w:val="bottom"/>
            <w:shd w:val="clear" w:color="auto" w:fill="232F84"/>
          </w:tcPr>
          <w:p>
            <w:pPr>
              <w:spacing w:after="0"/>
              <w:rPr>
                <w:sz w:val="15"/>
                <w:szCs w:val="15"/>
                <w:color w:val="auto"/>
              </w:rPr>
            </w:pPr>
          </w:p>
        </w:tc>
        <w:tc>
          <w:tcPr>
            <w:tcW w:w="2000" w:type="dxa"/>
            <w:vAlign w:val="bottom"/>
            <w:gridSpan w:val="2"/>
            <w:shd w:val="clear" w:color="auto" w:fill="232F84"/>
          </w:tcPr>
          <w:p>
            <w:pPr>
              <w:jc w:val="right"/>
              <w:ind w:right="208"/>
              <w:spacing w:after="0"/>
              <w:rPr>
                <w:sz w:val="20"/>
                <w:szCs w:val="20"/>
                <w:color w:val="auto"/>
              </w:rPr>
            </w:pPr>
            <w:r>
              <w:rPr>
                <w:rFonts w:ascii="Arial" w:cs="Arial" w:eastAsia="Arial" w:hAnsi="Arial"/>
                <w:sz w:val="14"/>
                <w:szCs w:val="14"/>
                <w:b w:val="1"/>
                <w:bCs w:val="1"/>
                <w:color w:val="FFFFFF"/>
              </w:rPr>
              <w:t>Six Months Ended</w:t>
            </w:r>
          </w:p>
        </w:tc>
        <w:tc>
          <w:tcPr>
            <w:tcW w:w="740" w:type="dxa"/>
            <w:vAlign w:val="bottom"/>
            <w:shd w:val="clear" w:color="auto" w:fill="232F84"/>
          </w:tcPr>
          <w:p>
            <w:pPr>
              <w:spacing w:after="0"/>
              <w:rPr>
                <w:sz w:val="15"/>
                <w:szCs w:val="15"/>
                <w:color w:val="auto"/>
              </w:rPr>
            </w:pPr>
          </w:p>
        </w:tc>
      </w:tr>
      <w:tr>
        <w:trPr>
          <w:trHeight w:val="206"/>
        </w:trPr>
        <w:tc>
          <w:tcPr>
            <w:tcW w:w="7940" w:type="dxa"/>
            <w:vAlign w:val="bottom"/>
            <w:shd w:val="clear" w:color="auto" w:fill="232F84"/>
          </w:tcPr>
          <w:p>
            <w:pPr>
              <w:spacing w:after="0"/>
              <w:rPr>
                <w:sz w:val="17"/>
                <w:szCs w:val="17"/>
                <w:color w:val="auto"/>
              </w:rPr>
            </w:pPr>
          </w:p>
        </w:tc>
        <w:tc>
          <w:tcPr>
            <w:tcW w:w="56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right"/>
              <w:ind w:right="548"/>
              <w:spacing w:after="0"/>
              <w:rPr>
                <w:sz w:val="20"/>
                <w:szCs w:val="20"/>
                <w:color w:val="auto"/>
              </w:rPr>
            </w:pPr>
            <w:r>
              <w:rPr>
                <w:rFonts w:ascii="Arial" w:cs="Arial" w:eastAsia="Arial" w:hAnsi="Arial"/>
                <w:sz w:val="14"/>
                <w:szCs w:val="14"/>
                <w:b w:val="1"/>
                <w:bCs w:val="1"/>
                <w:color w:val="FFFFFF"/>
              </w:rPr>
              <w:t>April 30,</w:t>
            </w:r>
          </w:p>
        </w:tc>
        <w:tc>
          <w:tcPr>
            <w:tcW w:w="740" w:type="dxa"/>
            <w:vAlign w:val="bottom"/>
            <w:shd w:val="clear" w:color="auto" w:fill="232F84"/>
          </w:tcPr>
          <w:p>
            <w:pPr>
              <w:spacing w:after="0"/>
              <w:rPr>
                <w:sz w:val="17"/>
                <w:szCs w:val="17"/>
                <w:color w:val="auto"/>
              </w:rPr>
            </w:pPr>
          </w:p>
        </w:tc>
      </w:tr>
      <w:tr>
        <w:trPr>
          <w:trHeight w:val="226"/>
        </w:trPr>
        <w:tc>
          <w:tcPr>
            <w:tcW w:w="79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60" w:type="dxa"/>
            <w:vAlign w:val="bottom"/>
            <w:shd w:val="clear" w:color="auto" w:fill="232F84"/>
          </w:tcPr>
          <w:p>
            <w:pPr>
              <w:spacing w:after="0"/>
              <w:rPr>
                <w:sz w:val="19"/>
                <w:szCs w:val="19"/>
                <w:color w:val="auto"/>
              </w:rPr>
            </w:pPr>
          </w:p>
        </w:tc>
        <w:tc>
          <w:tcPr>
            <w:tcW w:w="1080" w:type="dxa"/>
            <w:vAlign w:val="bottom"/>
            <w:shd w:val="clear" w:color="auto" w:fill="232F84"/>
          </w:tcPr>
          <w:p>
            <w:pPr>
              <w:jc w:val="right"/>
              <w:ind w:right="108"/>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9"/>
                <w:szCs w:val="19"/>
                <w:color w:val="auto"/>
              </w:rPr>
            </w:pPr>
          </w:p>
        </w:tc>
        <w:tc>
          <w:tcPr>
            <w:tcW w:w="74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232F84"/>
              </w:rPr>
              <w:t>Operating Activities</w:t>
            </w:r>
          </w:p>
        </w:tc>
        <w:tc>
          <w:tcPr>
            <w:tcW w:w="560" w:type="dxa"/>
            <w:vAlign w:val="bottom"/>
            <w:shd w:val="clear" w:color="auto" w:fill="43C0B9"/>
          </w:tcPr>
          <w:p>
            <w:pPr>
              <w:spacing w:after="0"/>
              <w:rPr>
                <w:sz w:val="18"/>
                <w:szCs w:val="18"/>
                <w:color w:val="auto"/>
              </w:rPr>
            </w:pPr>
          </w:p>
        </w:tc>
        <w:tc>
          <w:tcPr>
            <w:tcW w:w="1080" w:type="dxa"/>
            <w:vAlign w:val="bottom"/>
            <w:shd w:val="clear" w:color="auto" w:fill="43C0B9"/>
          </w:tcPr>
          <w:p>
            <w:pPr>
              <w:spacing w:after="0"/>
              <w:rPr>
                <w:sz w:val="18"/>
                <w:szCs w:val="18"/>
                <w:color w:val="auto"/>
              </w:rPr>
            </w:pPr>
          </w:p>
        </w:tc>
        <w:tc>
          <w:tcPr>
            <w:tcW w:w="920" w:type="dxa"/>
            <w:vAlign w:val="bottom"/>
            <w:shd w:val="clear" w:color="auto" w:fill="43C0B9"/>
          </w:tcPr>
          <w:p>
            <w:pPr>
              <w:spacing w:after="0"/>
              <w:rPr>
                <w:sz w:val="18"/>
                <w:szCs w:val="18"/>
                <w:color w:val="auto"/>
              </w:rPr>
            </w:pPr>
          </w:p>
        </w:tc>
        <w:tc>
          <w:tcPr>
            <w:tcW w:w="740" w:type="dxa"/>
            <w:vAlign w:val="bottom"/>
            <w:shd w:val="clear" w:color="auto" w:fill="43C0B9"/>
          </w:tcPr>
          <w:p>
            <w:pPr>
              <w:spacing w:after="0"/>
              <w:rPr>
                <w:sz w:val="18"/>
                <w:szCs w:val="18"/>
                <w:color w:val="auto"/>
              </w:rPr>
            </w:pP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9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spacing w:after="0"/>
              <w:rPr>
                <w:sz w:val="19"/>
                <w:szCs w:val="19"/>
                <w:color w:val="auto"/>
              </w:rPr>
            </w:pP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spacing w:after="0"/>
              <w:rPr>
                <w:sz w:val="19"/>
                <w:szCs w:val="19"/>
                <w:color w:val="auto"/>
              </w:rPr>
            </w:pP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Provision for losses on accounts receivable</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940" w:type="dxa"/>
            <w:vAlign w:val="bottom"/>
            <w:shd w:val="clear" w:color="auto" w:fill="43C0B9"/>
          </w:tcPr>
          <w:p>
            <w:pPr>
              <w:ind w:left="460"/>
              <w:spacing w:after="0"/>
              <w:rPr>
                <w:sz w:val="20"/>
                <w:szCs w:val="20"/>
                <w:color w:val="auto"/>
              </w:rPr>
            </w:pPr>
            <w:r>
              <w:rPr>
                <w:rFonts w:ascii="Arial" w:cs="Arial" w:eastAsia="Arial" w:hAnsi="Arial"/>
                <w:sz w:val="14"/>
                <w:szCs w:val="14"/>
                <w:color w:val="auto"/>
              </w:rPr>
              <w:t>Depreciation and amortization</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7.6</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7.1</w:t>
            </w: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Amortization of debt issuance costs</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2"/>
        </w:trPr>
        <w:tc>
          <w:tcPr>
            <w:tcW w:w="7940" w:type="dxa"/>
            <w:vAlign w:val="bottom"/>
            <w:shd w:val="clear" w:color="auto" w:fill="43C0B9"/>
          </w:tcPr>
          <w:p>
            <w:pPr>
              <w:ind w:left="460"/>
              <w:spacing w:after="0"/>
              <w:rPr>
                <w:sz w:val="20"/>
                <w:szCs w:val="20"/>
                <w:color w:val="auto"/>
              </w:rPr>
            </w:pPr>
            <w:r>
              <w:rPr>
                <w:rFonts w:ascii="Arial" w:cs="Arial" w:eastAsia="Arial" w:hAnsi="Arial"/>
                <w:sz w:val="14"/>
                <w:szCs w:val="14"/>
                <w:color w:val="auto"/>
              </w:rPr>
              <w:t>Equity method income</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(2.1)</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Impairment on equity method investment</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22"/>
        </w:trPr>
        <w:tc>
          <w:tcPr>
            <w:tcW w:w="7940" w:type="dxa"/>
            <w:vAlign w:val="bottom"/>
            <w:shd w:val="clear" w:color="auto" w:fill="43C0B9"/>
          </w:tcPr>
          <w:p>
            <w:pPr>
              <w:ind w:left="460"/>
              <w:spacing w:after="0"/>
              <w:rPr>
                <w:sz w:val="20"/>
                <w:szCs w:val="20"/>
                <w:color w:val="auto"/>
              </w:rPr>
            </w:pPr>
            <w:r>
              <w:rPr>
                <w:rFonts w:ascii="Arial" w:cs="Arial" w:eastAsia="Arial" w:hAnsi="Arial"/>
                <w:sz w:val="14"/>
                <w:szCs w:val="14"/>
                <w:color w:val="auto"/>
              </w:rPr>
              <w:t>Stock-based compensation</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1.5</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0.7</w:t>
            </w: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Dividends received from equity method investees</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2"/>
        </w:trPr>
        <w:tc>
          <w:tcPr>
            <w:tcW w:w="7940" w:type="dxa"/>
            <w:vAlign w:val="bottom"/>
            <w:shd w:val="clear" w:color="auto" w:fill="43C0B9"/>
          </w:tcPr>
          <w:p>
            <w:pPr>
              <w:ind w:left="460"/>
              <w:spacing w:after="0"/>
              <w:rPr>
                <w:sz w:val="20"/>
                <w:szCs w:val="20"/>
                <w:color w:val="auto"/>
              </w:rPr>
            </w:pPr>
            <w:r>
              <w:rPr>
                <w:rFonts w:ascii="Arial" w:cs="Arial" w:eastAsia="Arial" w:hAnsi="Arial"/>
                <w:sz w:val="14"/>
                <w:szCs w:val="14"/>
                <w:color w:val="auto"/>
              </w:rPr>
              <w:t>Loss on sale of equipment</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0.3</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0.1</w:t>
            </w: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22"/>
        </w:trPr>
        <w:tc>
          <w:tcPr>
            <w:tcW w:w="7940" w:type="dxa"/>
            <w:vAlign w:val="bottom"/>
            <w:shd w:val="clear" w:color="auto" w:fill="43C0B9"/>
          </w:tcPr>
          <w:p>
            <w:pPr>
              <w:ind w:left="460"/>
              <w:spacing w:after="0"/>
              <w:rPr>
                <w:sz w:val="20"/>
                <w:szCs w:val="20"/>
                <w:color w:val="auto"/>
              </w:rPr>
            </w:pPr>
            <w:r>
              <w:rPr>
                <w:rFonts w:ascii="Arial" w:cs="Arial" w:eastAsia="Arial" w:hAnsi="Arial"/>
                <w:sz w:val="14"/>
                <w:szCs w:val="14"/>
                <w:color w:val="auto"/>
              </w:rPr>
              <w:t>Other</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0.3</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(2.0)</w:t>
            </w: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Unrealized (gains) losses on derivative financial instruments</w:t>
            </w:r>
          </w:p>
        </w:tc>
        <w:tc>
          <w:tcPr>
            <w:tcW w:w="5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Effect on cash of changes in operating assets and liabilities: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spacing w:after="0"/>
              <w:rPr>
                <w:sz w:val="19"/>
                <w:szCs w:val="19"/>
                <w:color w:val="auto"/>
              </w:rPr>
            </w:pP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spacing w:after="0"/>
              <w:rPr>
                <w:sz w:val="19"/>
                <w:szCs w:val="19"/>
                <w:color w:val="auto"/>
              </w:rPr>
            </w:pP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Trade accounts receivable</w:t>
            </w:r>
          </w:p>
        </w:tc>
        <w:tc>
          <w:tcPr>
            <w:tcW w:w="5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(28.2)</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22"/>
        </w:trPr>
        <w:tc>
          <w:tcPr>
            <w:tcW w:w="7940" w:type="dxa"/>
            <w:vAlign w:val="bottom"/>
            <w:shd w:val="clear" w:color="auto" w:fill="43C0B9"/>
          </w:tcPr>
          <w:p>
            <w:pPr>
              <w:ind w:left="460"/>
              <w:spacing w:after="0"/>
              <w:rPr>
                <w:sz w:val="20"/>
                <w:szCs w:val="20"/>
                <w:color w:val="auto"/>
              </w:rPr>
            </w:pPr>
            <w:r>
              <w:rPr>
                <w:rFonts w:ascii="Arial" w:cs="Arial" w:eastAsia="Arial" w:hAnsi="Arial"/>
                <w:sz w:val="14"/>
                <w:szCs w:val="14"/>
                <w:color w:val="auto"/>
              </w:rPr>
              <w:t>Grower fruit advances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(1.7)</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2.0</w:t>
            </w: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Miscellaneous receivables</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22"/>
        </w:trPr>
        <w:tc>
          <w:tcPr>
            <w:tcW w:w="7940" w:type="dxa"/>
            <w:vAlign w:val="bottom"/>
            <w:shd w:val="clear" w:color="auto" w:fill="43C0B9"/>
          </w:tcPr>
          <w:p>
            <w:pPr>
              <w:ind w:left="460"/>
              <w:spacing w:after="0"/>
              <w:rPr>
                <w:sz w:val="20"/>
                <w:szCs w:val="20"/>
                <w:color w:val="auto"/>
              </w:rPr>
            </w:pPr>
            <w:r>
              <w:rPr>
                <w:rFonts w:ascii="Arial" w:cs="Arial" w:eastAsia="Arial" w:hAnsi="Arial"/>
                <w:sz w:val="14"/>
                <w:szCs w:val="14"/>
                <w:color w:val="auto"/>
              </w:rPr>
              <w:t>Inventory</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(27.5)</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w:t>
            </w: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22"/>
        </w:trPr>
        <w:tc>
          <w:tcPr>
            <w:tcW w:w="7940" w:type="dxa"/>
            <w:vAlign w:val="bottom"/>
            <w:shd w:val="clear" w:color="auto" w:fill="43C0B9"/>
          </w:tcPr>
          <w:p>
            <w:pPr>
              <w:ind w:left="460"/>
              <w:spacing w:after="0"/>
              <w:rPr>
                <w:sz w:val="20"/>
                <w:szCs w:val="20"/>
                <w:color w:val="auto"/>
              </w:rPr>
            </w:pPr>
            <w:r>
              <w:rPr>
                <w:rFonts w:ascii="Arial" w:cs="Arial" w:eastAsia="Arial" w:hAnsi="Arial"/>
                <w:sz w:val="14"/>
                <w:szCs w:val="14"/>
                <w:color w:val="auto"/>
              </w:rPr>
              <w:t>Income taxes receivable</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(3.5)</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(2.6)</w:t>
            </w: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Other assets</w:t>
            </w:r>
          </w:p>
        </w:tc>
        <w:tc>
          <w:tcPr>
            <w:tcW w:w="5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22"/>
        </w:trPr>
        <w:tc>
          <w:tcPr>
            <w:tcW w:w="7940" w:type="dxa"/>
            <w:vAlign w:val="bottom"/>
            <w:shd w:val="clear" w:color="auto" w:fill="43C0B9"/>
          </w:tcPr>
          <w:p>
            <w:pPr>
              <w:ind w:left="460"/>
              <w:spacing w:after="0"/>
              <w:rPr>
                <w:sz w:val="20"/>
                <w:szCs w:val="20"/>
                <w:color w:val="auto"/>
              </w:rPr>
            </w:pPr>
            <w:r>
              <w:rPr>
                <w:rFonts w:ascii="Arial" w:cs="Arial" w:eastAsia="Arial" w:hAnsi="Arial"/>
                <w:sz w:val="14"/>
                <w:szCs w:val="14"/>
                <w:color w:val="auto"/>
              </w:rPr>
              <w:t>Accounts payable and accrued expenses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10.5</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w:t>
            </w:r>
          </w:p>
        </w:tc>
      </w:tr>
      <w:tr>
        <w:trPr>
          <w:trHeight w:val="210"/>
        </w:trPr>
        <w:tc>
          <w:tcPr>
            <w:tcW w:w="7940" w:type="dxa"/>
            <w:vAlign w:val="bottom"/>
          </w:tcPr>
          <w:p>
            <w:pPr>
              <w:ind w:left="460"/>
              <w:spacing w:after="0"/>
              <w:rPr>
                <w:sz w:val="20"/>
                <w:szCs w:val="20"/>
                <w:color w:val="auto"/>
              </w:rPr>
            </w:pPr>
            <w:r>
              <w:rPr>
                <w:rFonts w:ascii="Arial" w:cs="Arial" w:eastAsia="Arial" w:hAnsi="Arial"/>
                <w:sz w:val="14"/>
                <w:szCs w:val="14"/>
                <w:color w:val="auto"/>
              </w:rPr>
              <w:t>Income taxes payable</w:t>
            </w:r>
          </w:p>
        </w:tc>
        <w:tc>
          <w:tcPr>
            <w:tcW w:w="5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22"/>
        </w:trPr>
        <w:tc>
          <w:tcPr>
            <w:tcW w:w="7940" w:type="dxa"/>
            <w:vAlign w:val="bottom"/>
            <w:shd w:val="clear" w:color="auto" w:fill="43C0B9"/>
          </w:tcPr>
          <w:p>
            <w:pPr>
              <w:ind w:left="460"/>
              <w:spacing w:after="0"/>
              <w:rPr>
                <w:sz w:val="20"/>
                <w:szCs w:val="20"/>
                <w:color w:val="auto"/>
              </w:rPr>
            </w:pPr>
            <w:r>
              <w:rPr>
                <w:rFonts w:ascii="Arial" w:cs="Arial" w:eastAsia="Arial" w:hAnsi="Arial"/>
                <w:sz w:val="14"/>
                <w:szCs w:val="14"/>
                <w:color w:val="auto"/>
              </w:rPr>
              <w:t>Grower payables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12.5</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9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Other long-term liabilities</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10"/>
        </w:trPr>
        <w:tc>
          <w:tcPr>
            <w:tcW w:w="79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Net cash used in operating activities</w:t>
            </w:r>
          </w:p>
        </w:tc>
        <w:tc>
          <w:tcPr>
            <w:tcW w:w="560" w:type="dxa"/>
            <w:vAlign w:val="bottom"/>
            <w:tcBorders>
              <w:bottom w:val="single" w:sz="8" w:color="auto"/>
            </w:tcBorders>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(20.2)</w:t>
            </w:r>
          </w:p>
        </w:tc>
        <w:tc>
          <w:tcPr>
            <w:tcW w:w="920" w:type="dxa"/>
            <w:vAlign w:val="bottom"/>
            <w:tcBorders>
              <w:bottom w:val="single" w:sz="8" w:color="auto"/>
            </w:tcBorders>
            <w:shd w:val="clear" w:color="auto" w:fill="43C0B9"/>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(4.7)</w:t>
            </w:r>
          </w:p>
        </w:tc>
      </w:tr>
      <w:tr>
        <w:trPr>
          <w:trHeight w:val="209"/>
        </w:trPr>
        <w:tc>
          <w:tcPr>
            <w:tcW w:w="7940" w:type="dxa"/>
            <w:vAlign w:val="bottom"/>
          </w:tcPr>
          <w:p>
            <w:pPr>
              <w:ind w:left="20"/>
              <w:spacing w:after="0"/>
              <w:rPr>
                <w:sz w:val="20"/>
                <w:szCs w:val="20"/>
                <w:color w:val="auto"/>
              </w:rPr>
            </w:pPr>
            <w:r>
              <w:rPr>
                <w:rFonts w:ascii="Arial" w:cs="Arial" w:eastAsia="Arial" w:hAnsi="Arial"/>
                <w:sz w:val="14"/>
                <w:szCs w:val="14"/>
                <w:b w:val="1"/>
                <w:bCs w:val="1"/>
                <w:color w:val="232F84"/>
              </w:rPr>
              <w:t>Investing Activities</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Purchases of property and equipment</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(46.8)</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(19.7)</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Investment in equity method investees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(0.2)</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Loans to equity method investees</w:t>
            </w:r>
          </w:p>
        </w:tc>
        <w:tc>
          <w:tcPr>
            <w:tcW w:w="5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Loan repayments from equity method investees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1.5</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Issuance of notes receivable</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Supplier deposits, net</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(0.3)</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0.1</w:t>
            </w:r>
          </w:p>
        </w:tc>
      </w:tr>
      <w:tr>
        <w:trPr>
          <w:trHeight w:val="21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Investments, net</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09"/>
        </w:trPr>
        <w:tc>
          <w:tcPr>
            <w:tcW w:w="79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Net cash used in investing activities</w:t>
            </w:r>
          </w:p>
        </w:tc>
        <w:tc>
          <w:tcPr>
            <w:tcW w:w="560" w:type="dxa"/>
            <w:vAlign w:val="bottom"/>
            <w:tcBorders>
              <w:bottom w:val="single" w:sz="8" w:color="auto"/>
            </w:tcBorders>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(45.0)</w:t>
            </w:r>
          </w:p>
        </w:tc>
        <w:tc>
          <w:tcPr>
            <w:tcW w:w="920" w:type="dxa"/>
            <w:vAlign w:val="bottom"/>
            <w:tcBorders>
              <w:bottom w:val="single" w:sz="8" w:color="auto"/>
            </w:tcBorders>
            <w:shd w:val="clear" w:color="auto" w:fill="43C0B9"/>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(21.9)</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b w:val="1"/>
                <w:bCs w:val="1"/>
                <w:color w:val="232F84"/>
              </w:rPr>
              <w:t>Financing Activities</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Payments on revolving credit facility</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(3.9)</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(3.1)</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Principal payments on capital lease obligations</w:t>
            </w:r>
          </w:p>
        </w:tc>
        <w:tc>
          <w:tcPr>
            <w:tcW w:w="56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Payments for long-term supplier financing</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(1.1)</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Repayment of stock option notes receivable</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0.1</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Debt issuance costs</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79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Purchase and retirement of stock</w:t>
            </w:r>
          </w:p>
        </w:tc>
        <w:tc>
          <w:tcPr>
            <w:tcW w:w="560" w:type="dxa"/>
            <w:vAlign w:val="bottom"/>
            <w:tcBorders>
              <w:bottom w:val="single" w:sz="8" w:color="auto"/>
            </w:tcBorders>
            <w:shd w:val="clear" w:color="auto" w:fill="43C0B9"/>
          </w:tcPr>
          <w:p>
            <w:pPr>
              <w:spacing w:after="0"/>
              <w:rPr>
                <w:sz w:val="18"/>
                <w:szCs w:val="18"/>
                <w:color w:val="auto"/>
              </w:rPr>
            </w:pPr>
          </w:p>
        </w:tc>
        <w:tc>
          <w:tcPr>
            <w:tcW w:w="108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43C0B9"/>
          </w:tcPr>
          <w:p>
            <w:pPr>
              <w:spacing w:after="0"/>
              <w:rPr>
                <w:sz w:val="18"/>
                <w:szCs w:val="18"/>
                <w:color w:val="auto"/>
              </w:rPr>
            </w:pPr>
          </w:p>
        </w:tc>
        <w:tc>
          <w:tcPr>
            <w:tcW w:w="7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(1.8)</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9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16"/>
        </w:trPr>
        <w:tc>
          <w:tcPr>
            <w:tcW w:w="79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560" w:type="dxa"/>
            <w:vAlign w:val="bottom"/>
            <w:tcBorders>
              <w:bottom w:val="single" w:sz="8" w:color="auto"/>
            </w:tcBorders>
            <w:shd w:val="clear" w:color="auto" w:fill="43C0B9"/>
          </w:tcPr>
          <w:p>
            <w:pPr>
              <w:spacing w:after="0"/>
              <w:rPr>
                <w:sz w:val="18"/>
                <w:szCs w:val="18"/>
                <w:color w:val="auto"/>
              </w:rPr>
            </w:pPr>
          </w:p>
        </w:tc>
        <w:tc>
          <w:tcPr>
            <w:tcW w:w="108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0.2</w:t>
            </w:r>
          </w:p>
        </w:tc>
        <w:tc>
          <w:tcPr>
            <w:tcW w:w="920" w:type="dxa"/>
            <w:vAlign w:val="bottom"/>
            <w:tcBorders>
              <w:bottom w:val="single" w:sz="8" w:color="auto"/>
            </w:tcBorders>
            <w:shd w:val="clear" w:color="auto" w:fill="43C0B9"/>
          </w:tcPr>
          <w:p>
            <w:pPr>
              <w:spacing w:after="0"/>
              <w:rPr>
                <w:sz w:val="18"/>
                <w:szCs w:val="18"/>
                <w:color w:val="auto"/>
              </w:rPr>
            </w:pPr>
          </w:p>
        </w:tc>
        <w:tc>
          <w:tcPr>
            <w:tcW w:w="7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794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56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(69.5)</w:t>
            </w: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(36.5)</w:t>
            </w:r>
          </w:p>
        </w:tc>
      </w:tr>
    </w:tbl>
    <w:p>
      <w:pPr>
        <w:spacing w:after="0" w:line="200" w:lineRule="exact"/>
        <w:rPr>
          <w:sz w:val="20"/>
          <w:szCs w:val="20"/>
          <w:color w:val="auto"/>
        </w:rPr>
      </w:pPr>
    </w:p>
    <w:p>
      <w:pPr>
        <w:sectPr>
          <w:pgSz w:w="11900" w:h="16838" w:orient="portrait"/>
          <w:cols w:equalWidth="0" w:num="1">
            <w:col w:w="11240"/>
          </w:cols>
          <w:pgMar w:left="320" w:top="1084" w:right="339" w:bottom="1440" w:gutter="0" w:footer="0" w:header="0"/>
        </w:sectPr>
      </w:pPr>
    </w:p>
    <w:p>
      <w:pPr>
        <w:spacing w:after="0" w:line="27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084"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6"/>
        </w:trPr>
        <w:tc>
          <w:tcPr>
            <w:tcW w:w="7940" w:type="dxa"/>
            <w:vAlign w:val="bottom"/>
            <w:shd w:val="clear" w:color="auto" w:fill="232F84"/>
          </w:tcPr>
          <w:p>
            <w:pPr>
              <w:spacing w:after="0"/>
              <w:rPr>
                <w:sz w:val="15"/>
                <w:szCs w:val="15"/>
                <w:color w:val="auto"/>
              </w:rPr>
            </w:pPr>
          </w:p>
        </w:tc>
        <w:tc>
          <w:tcPr>
            <w:tcW w:w="560" w:type="dxa"/>
            <w:vAlign w:val="bottom"/>
            <w:shd w:val="clear" w:color="auto" w:fill="232F84"/>
          </w:tcPr>
          <w:p>
            <w:pPr>
              <w:spacing w:after="0"/>
              <w:rPr>
                <w:sz w:val="15"/>
                <w:szCs w:val="15"/>
                <w:color w:val="auto"/>
              </w:rPr>
            </w:pPr>
          </w:p>
        </w:tc>
        <w:tc>
          <w:tcPr>
            <w:tcW w:w="2000" w:type="dxa"/>
            <w:vAlign w:val="bottom"/>
            <w:gridSpan w:val="2"/>
            <w:shd w:val="clear" w:color="auto" w:fill="232F84"/>
          </w:tcPr>
          <w:p>
            <w:pPr>
              <w:jc w:val="right"/>
              <w:ind w:right="208"/>
              <w:spacing w:after="0"/>
              <w:rPr>
                <w:sz w:val="20"/>
                <w:szCs w:val="20"/>
                <w:color w:val="auto"/>
              </w:rPr>
            </w:pPr>
            <w:r>
              <w:rPr>
                <w:rFonts w:ascii="Arial" w:cs="Arial" w:eastAsia="Arial" w:hAnsi="Arial"/>
                <w:sz w:val="14"/>
                <w:szCs w:val="14"/>
                <w:b w:val="1"/>
                <w:bCs w:val="1"/>
                <w:color w:val="FFFFFF"/>
              </w:rPr>
              <w:t>Six Months Ended</w:t>
            </w:r>
          </w:p>
        </w:tc>
        <w:tc>
          <w:tcPr>
            <w:tcW w:w="740" w:type="dxa"/>
            <w:vAlign w:val="bottom"/>
            <w:shd w:val="clear" w:color="auto" w:fill="232F84"/>
          </w:tcPr>
          <w:p>
            <w:pPr>
              <w:spacing w:after="0"/>
              <w:rPr>
                <w:sz w:val="15"/>
                <w:szCs w:val="15"/>
                <w:color w:val="auto"/>
              </w:rPr>
            </w:pPr>
          </w:p>
        </w:tc>
      </w:tr>
      <w:tr>
        <w:trPr>
          <w:trHeight w:val="206"/>
        </w:trPr>
        <w:tc>
          <w:tcPr>
            <w:tcW w:w="7940" w:type="dxa"/>
            <w:vAlign w:val="bottom"/>
            <w:shd w:val="clear" w:color="auto" w:fill="232F84"/>
          </w:tcPr>
          <w:p>
            <w:pPr>
              <w:spacing w:after="0"/>
              <w:rPr>
                <w:sz w:val="17"/>
                <w:szCs w:val="17"/>
                <w:color w:val="auto"/>
              </w:rPr>
            </w:pPr>
          </w:p>
        </w:tc>
        <w:tc>
          <w:tcPr>
            <w:tcW w:w="56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right"/>
              <w:ind w:right="548"/>
              <w:spacing w:after="0"/>
              <w:rPr>
                <w:sz w:val="20"/>
                <w:szCs w:val="20"/>
                <w:color w:val="auto"/>
              </w:rPr>
            </w:pPr>
            <w:r>
              <w:rPr>
                <w:rFonts w:ascii="Arial" w:cs="Arial" w:eastAsia="Arial" w:hAnsi="Arial"/>
                <w:sz w:val="14"/>
                <w:szCs w:val="14"/>
                <w:b w:val="1"/>
                <w:bCs w:val="1"/>
                <w:color w:val="FFFFFF"/>
              </w:rPr>
              <w:t>April 30,</w:t>
            </w:r>
          </w:p>
        </w:tc>
        <w:tc>
          <w:tcPr>
            <w:tcW w:w="740" w:type="dxa"/>
            <w:vAlign w:val="bottom"/>
            <w:shd w:val="clear" w:color="auto" w:fill="232F84"/>
          </w:tcPr>
          <w:p>
            <w:pPr>
              <w:spacing w:after="0"/>
              <w:rPr>
                <w:sz w:val="17"/>
                <w:szCs w:val="17"/>
                <w:color w:val="auto"/>
              </w:rPr>
            </w:pPr>
          </w:p>
        </w:tc>
      </w:tr>
      <w:tr>
        <w:trPr>
          <w:trHeight w:val="226"/>
        </w:trPr>
        <w:tc>
          <w:tcPr>
            <w:tcW w:w="79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60" w:type="dxa"/>
            <w:vAlign w:val="bottom"/>
            <w:shd w:val="clear" w:color="auto" w:fill="232F84"/>
          </w:tcPr>
          <w:p>
            <w:pPr>
              <w:spacing w:after="0"/>
              <w:rPr>
                <w:sz w:val="19"/>
                <w:szCs w:val="19"/>
                <w:color w:val="auto"/>
              </w:rPr>
            </w:pPr>
          </w:p>
        </w:tc>
        <w:tc>
          <w:tcPr>
            <w:tcW w:w="106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74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0"/>
        </w:trPr>
        <w:tc>
          <w:tcPr>
            <w:tcW w:w="79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560" w:type="dxa"/>
            <w:vAlign w:val="bottom"/>
            <w:tcBorders>
              <w:bottom w:val="single" w:sz="8" w:color="auto"/>
            </w:tcBorders>
            <w:shd w:val="clear" w:color="auto" w:fill="43C0B9"/>
          </w:tcPr>
          <w:p>
            <w:pPr>
              <w:spacing w:after="0"/>
              <w:rPr>
                <w:sz w:val="18"/>
                <w:szCs w:val="18"/>
                <w:color w:val="auto"/>
              </w:rPr>
            </w:pPr>
          </w:p>
        </w:tc>
        <w:tc>
          <w:tcPr>
            <w:tcW w:w="10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127.0</w:t>
            </w:r>
          </w:p>
        </w:tc>
        <w:tc>
          <w:tcPr>
            <w:tcW w:w="940" w:type="dxa"/>
            <w:vAlign w:val="bottom"/>
            <w:tcBorders>
              <w:bottom w:val="single" w:sz="8" w:color="auto"/>
            </w:tcBorders>
            <w:shd w:val="clear" w:color="auto" w:fill="43C0B9"/>
          </w:tcPr>
          <w:p>
            <w:pPr>
              <w:spacing w:after="0"/>
              <w:rPr>
                <w:sz w:val="18"/>
                <w:szCs w:val="18"/>
                <w:color w:val="auto"/>
              </w:rPr>
            </w:pPr>
          </w:p>
        </w:tc>
        <w:tc>
          <w:tcPr>
            <w:tcW w:w="7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65.6</w:t>
            </w:r>
          </w:p>
        </w:tc>
      </w:tr>
      <w:tr>
        <w:trPr>
          <w:trHeight w:val="21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57.5</w:t>
            </w:r>
          </w:p>
        </w:tc>
        <w:tc>
          <w:tcPr>
            <w:tcW w:w="9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r>
      <w:tr>
        <w:trPr>
          <w:trHeight w:val="188"/>
        </w:trPr>
        <w:tc>
          <w:tcPr>
            <w:tcW w:w="7940" w:type="dxa"/>
            <w:vAlign w:val="bottom"/>
            <w:shd w:val="clear" w:color="auto" w:fill="43C0B9"/>
          </w:tcPr>
          <w:p>
            <w:pPr>
              <w:spacing w:after="0"/>
              <w:rPr>
                <w:sz w:val="16"/>
                <w:szCs w:val="16"/>
                <w:color w:val="auto"/>
              </w:rPr>
            </w:pPr>
          </w:p>
        </w:tc>
        <w:tc>
          <w:tcPr>
            <w:tcW w:w="560" w:type="dxa"/>
            <w:vAlign w:val="bottom"/>
            <w:shd w:val="clear" w:color="auto" w:fill="43C0B9"/>
          </w:tcPr>
          <w:p>
            <w:pPr>
              <w:spacing w:after="0"/>
              <w:rPr>
                <w:sz w:val="16"/>
                <w:szCs w:val="16"/>
                <w:color w:val="auto"/>
              </w:rPr>
            </w:pPr>
          </w:p>
        </w:tc>
        <w:tc>
          <w:tcPr>
            <w:tcW w:w="1060" w:type="dxa"/>
            <w:vAlign w:val="bottom"/>
            <w:shd w:val="clear" w:color="auto" w:fill="43C0B9"/>
          </w:tcPr>
          <w:p>
            <w:pPr>
              <w:spacing w:after="0"/>
              <w:rPr>
                <w:sz w:val="16"/>
                <w:szCs w:val="16"/>
                <w:color w:val="auto"/>
              </w:rPr>
            </w:pPr>
          </w:p>
        </w:tc>
        <w:tc>
          <w:tcPr>
            <w:tcW w:w="940" w:type="dxa"/>
            <w:vAlign w:val="bottom"/>
            <w:shd w:val="clear" w:color="auto" w:fill="43C0B9"/>
          </w:tcPr>
          <w:p>
            <w:pPr>
              <w:spacing w:after="0"/>
              <w:rPr>
                <w:sz w:val="16"/>
                <w:szCs w:val="16"/>
                <w:color w:val="auto"/>
              </w:rPr>
            </w:pPr>
          </w:p>
        </w:tc>
        <w:tc>
          <w:tcPr>
            <w:tcW w:w="740" w:type="dxa"/>
            <w:vAlign w:val="bottom"/>
            <w:shd w:val="clear" w:color="auto" w:fill="43C0B9"/>
          </w:tcPr>
          <w:p>
            <w:pPr>
              <w:spacing w:after="0"/>
              <w:rPr>
                <w:sz w:val="16"/>
                <w:szCs w:val="16"/>
                <w:color w:val="auto"/>
              </w:rPr>
            </w:pPr>
          </w:p>
        </w:tc>
      </w:tr>
      <w:tr>
        <w:trPr>
          <w:trHeight w:val="176"/>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Summary of cash, cash equivalents and restricted cash reported within the condensed consolidated balance</w:t>
            </w: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sheets:</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Cash and cash equivalents</w:t>
            </w:r>
          </w:p>
        </w:tc>
        <w:tc>
          <w:tcPr>
            <w:tcW w:w="560" w:type="dxa"/>
            <w:vAlign w:val="bottom"/>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54.2</w:t>
            </w:r>
          </w:p>
        </w:tc>
        <w:tc>
          <w:tcPr>
            <w:tcW w:w="940" w:type="dxa"/>
            <w:vAlign w:val="bottom"/>
            <w:shd w:val="clear" w:color="auto" w:fill="43C0B9"/>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26.6</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56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6"/>
        </w:trPr>
        <w:tc>
          <w:tcPr>
            <w:tcW w:w="79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Restricted cash included in other assets</w:t>
            </w:r>
          </w:p>
        </w:tc>
        <w:tc>
          <w:tcPr>
            <w:tcW w:w="560" w:type="dxa"/>
            <w:vAlign w:val="bottom"/>
            <w:tcBorders>
              <w:bottom w:val="single" w:sz="8" w:color="auto"/>
            </w:tcBorders>
            <w:shd w:val="clear" w:color="auto" w:fill="43C0B9"/>
          </w:tcPr>
          <w:p>
            <w:pPr>
              <w:spacing w:after="0"/>
              <w:rPr>
                <w:sz w:val="18"/>
                <w:szCs w:val="18"/>
                <w:color w:val="auto"/>
              </w:rPr>
            </w:pPr>
          </w:p>
        </w:tc>
        <w:tc>
          <w:tcPr>
            <w:tcW w:w="10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auto"/>
            </w:tcBorders>
            <w:shd w:val="clear" w:color="auto" w:fill="43C0B9"/>
          </w:tcPr>
          <w:p>
            <w:pPr>
              <w:spacing w:after="0"/>
              <w:rPr>
                <w:sz w:val="18"/>
                <w:szCs w:val="18"/>
                <w:color w:val="auto"/>
              </w:rPr>
            </w:pPr>
          </w:p>
        </w:tc>
        <w:tc>
          <w:tcPr>
            <w:tcW w:w="7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1.4</w:t>
            </w:r>
          </w:p>
        </w:tc>
      </w:tr>
      <w:tr>
        <w:trPr>
          <w:trHeight w:val="20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cash, cash equivalents, and restricted cash shown in the condensed consolidated statements of cash flows</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57.5</w:t>
            </w:r>
          </w:p>
        </w:tc>
        <w:tc>
          <w:tcPr>
            <w:tcW w:w="9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unaudited condensed consolidated financial statements.</w:t>
      </w:r>
    </w:p>
    <w:p>
      <w:pPr>
        <w:spacing w:after="0" w:line="200" w:lineRule="exact"/>
        <w:rPr>
          <w:sz w:val="20"/>
          <w:szCs w:val="20"/>
          <w:color w:val="auto"/>
        </w:rPr>
      </w:pPr>
    </w:p>
    <w:p>
      <w:pPr>
        <w:spacing w:after="0" w:line="33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13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hanging="432"/>
        <w:spacing w:after="0"/>
        <w:tabs>
          <w:tab w:leader="none" w:pos="440" w:val="left"/>
        </w:tabs>
        <w:numPr>
          <w:ilvl w:val="0"/>
          <w:numId w:val="4"/>
        </w:numPr>
        <w:rPr>
          <w:rFonts w:ascii="Arial" w:cs="Arial" w:eastAsia="Arial" w:hAnsi="Arial"/>
          <w:sz w:val="20"/>
          <w:szCs w:val="20"/>
          <w:b w:val="1"/>
          <w:bCs w:val="1"/>
          <w:color w:val="232F84"/>
        </w:rPr>
      </w:pPr>
      <w:r>
        <w:rPr>
          <w:rFonts w:ascii="Arial" w:cs="Arial" w:eastAsia="Arial" w:hAnsi="Arial"/>
          <w:sz w:val="20"/>
          <w:szCs w:val="20"/>
          <w:b w:val="1"/>
          <w:bCs w:val="1"/>
          <w:color w:val="232F84"/>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Business</w:t>
      </w:r>
    </w:p>
    <w:p>
      <w:pPr>
        <w:spacing w:after="0" w:line="241" w:lineRule="exact"/>
        <w:rPr>
          <w:sz w:val="20"/>
          <w:szCs w:val="20"/>
          <w:color w:val="auto"/>
        </w:rPr>
      </w:pPr>
    </w:p>
    <w:p>
      <w:pPr>
        <w:ind w:right="260" w:firstLine="648"/>
        <w:spacing w:after="0" w:line="250" w:lineRule="auto"/>
        <w:rPr>
          <w:sz w:val="20"/>
          <w:szCs w:val="20"/>
          <w:color w:val="auto"/>
        </w:rPr>
      </w:pPr>
      <w:r>
        <w:rPr>
          <w:rFonts w:ascii="Arial" w:cs="Arial" w:eastAsia="Arial" w:hAnsi="Arial"/>
          <w:sz w:val="16"/>
          <w:szCs w:val="16"/>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for distribution to domestic and international markets. We distribute our products both domestically and internationally and report our results of operations in two operating segments: Marketing &amp; Distribution and International Farming (see Note 10).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Basis of presentation and consolidation</w:t>
      </w:r>
    </w:p>
    <w:p>
      <w:pPr>
        <w:spacing w:after="0" w:line="241"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2020.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Recently issued accounting standards</w:t>
      </w:r>
    </w:p>
    <w:p>
      <w:pPr>
        <w:spacing w:after="0" w:line="241"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As a company with less than $1.07 billion of revenue during our last fiscal year, we qualify as an “emerging growth company” (“EGC”),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 The Company expects to lose its EGC status on October 31, 2021, when it expects to qualify as a large accelerated filer based on its market capitalization as of April 30, 2021, according to Rule 12b-2 of the Securities Exchange Act of 1934, as amended. As a result, the Company intends to adopt all accounting pronouncements currently deferred under the EGC election according to public company standards at October 31, 2021 on the Company’s 2021 Form 10-K filing. The adoption dates for the new accounting pronouncements disclosed below have been presented as such.</w:t>
      </w:r>
    </w:p>
    <w:p>
      <w:pPr>
        <w:spacing w:after="0" w:line="206" w:lineRule="exact"/>
        <w:rPr>
          <w:sz w:val="20"/>
          <w:szCs w:val="20"/>
          <w:color w:val="auto"/>
        </w:rPr>
      </w:pPr>
    </w:p>
    <w:p>
      <w:pPr>
        <w:ind w:right="280" w:firstLine="648"/>
        <w:spacing w:after="0" w:line="249"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2020-04, Reference Rate Reform, and a subsequent update following, which provides optional expedients and exceptions for applying GAAP principles to contracts, hedging relationships, and other transactions affected by reference rate reform if certain criteria are met. The amendments in this ASU apply only to contracts, hedging relationships, and other transactions that reference LIBOR or another reference rate expected to be discontinued as a result of reference rate reform. The optional expedients in this ASU are available for adoption as of March 12, 2020 through December 31, 2022. The Company is evaluating the impact of electing the adoption of this ASU on our financial condition, results of operations and cash flows.</w:t>
      </w:r>
    </w:p>
    <w:p>
      <w:pPr>
        <w:spacing w:after="0" w:line="20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December 2019, the FASB issued ASU 2019-12, Simplifying the Accounting for Income Taxes, as part of its Simplification Initiative to reduce the cost and complexity in accounting for income taxes. ASU 2019-12 removes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This ASU is effective for fiscal years, and interim periods within those fiscal years, beginning after December 15, 2020, as such we plan to adopt this ASU beginning November 1, 2021. The Company is continuing to assess the impact of the adoption of this ASU on our financial condition, results of operations and cash flows.</w:t>
      </w:r>
    </w:p>
    <w:p>
      <w:pPr>
        <w:spacing w:after="0" w:line="205" w:lineRule="exact"/>
        <w:rPr>
          <w:sz w:val="20"/>
          <w:szCs w:val="20"/>
          <w:color w:val="auto"/>
        </w:rPr>
      </w:pPr>
    </w:p>
    <w:p>
      <w:pPr>
        <w:ind w:right="100" w:firstLine="648"/>
        <w:spacing w:after="0" w:line="248"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This guidance requires financial assets measured at amortized cost basis to be presented at the net amount expected to be collected. It also requires credit losses on available-for-sale debt securities to be presented as an allowance, rather than reducing the carrying amount. The amendments should be applied on either a prospective transition or modified-retrospective approach depending on the subtopic. This ASU is effective for fiscal years beginning after December 15, 2019, including interim periods within those fiscal years. Early adoption is also permitted. The Company plans to adopt Topic 326 as of November 1, 2020 at October 31, 2021 on our 2021 Form 10-K filing. Though we are still evaluating the impact of the adoption of this ASU on our financial condition, results of operations and cash flows, we do not expect the impact of the adoption of this standard to be material.</w:t>
      </w:r>
    </w:p>
    <w:p>
      <w:pPr>
        <w:spacing w:after="0" w:line="208" w:lineRule="exact"/>
        <w:rPr>
          <w:sz w:val="20"/>
          <w:szCs w:val="20"/>
          <w:color w:val="auto"/>
        </w:rPr>
      </w:pPr>
    </w:p>
    <w:p>
      <w:pPr>
        <w:ind w:right="460" w:firstLine="648"/>
        <w:spacing w:after="0" w:line="260" w:lineRule="auto"/>
        <w:rPr>
          <w:sz w:val="20"/>
          <w:szCs w:val="20"/>
          <w:color w:val="auto"/>
        </w:rPr>
      </w:pPr>
      <w:r>
        <w:rPr>
          <w:rFonts w:ascii="Arial" w:cs="Arial" w:eastAsia="Arial" w:hAnsi="Arial"/>
          <w:sz w:val="16"/>
          <w:szCs w:val="16"/>
          <w:color w:val="auto"/>
        </w:rPr>
        <w:t>In February 2016, the FASB issued ASU 2016-02, Leases (Topic 842), and subsequent updates following, which requires a dual approach for lessee accounting under which a lessee would account for leases as finance leases or operating leases. Both finance leases and operating leases</w:t>
      </w:r>
    </w:p>
    <w:p>
      <w:pPr>
        <w:spacing w:after="0" w:line="200" w:lineRule="exact"/>
        <w:rPr>
          <w:sz w:val="20"/>
          <w:szCs w:val="20"/>
          <w:color w:val="auto"/>
        </w:r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20" w:top="109"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will result in the lessee recognizing a right-of use asset (“ROU”) and a corresponding lease liability. For finance leases, the 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Topic 842 is effective for our fiscal years beginning after December 15, 2018, including interim periods within those fiscal years. The Company plans to adopt Topic 842 as of November 1, 2020 at October 31, 2021 on our 2021 Form 10-K filing, using the modified retrospective method. Though we are still evaluating the impact of the adoption of this ASU on our financial condition, results of operations and cash flows, we expect to report increased assets and liabilities as a result of recording right-of-use assets and lease liabilities.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0" w:type="dxa"/>
            <w:vAlign w:val="bottom"/>
          </w:tcPr>
          <w:p>
            <w:pPr>
              <w:spacing w:after="0"/>
              <w:rPr>
                <w:sz w:val="20"/>
                <w:szCs w:val="20"/>
                <w:color w:val="auto"/>
              </w:rPr>
            </w:pPr>
            <w:r>
              <w:rPr>
                <w:rFonts w:ascii="Arial" w:cs="Arial" w:eastAsia="Arial" w:hAnsi="Arial"/>
                <w:sz w:val="20"/>
                <w:szCs w:val="20"/>
                <w:b w:val="1"/>
                <w:bCs w:val="1"/>
                <w:color w:val="232F84"/>
              </w:rPr>
              <w:t>2.</w:t>
            </w:r>
          </w:p>
        </w:tc>
        <w:tc>
          <w:tcPr>
            <w:tcW w:w="4240" w:type="dxa"/>
            <w:vAlign w:val="bottom"/>
          </w:tcPr>
          <w:p>
            <w:pPr>
              <w:ind w:left="20"/>
              <w:spacing w:after="0"/>
              <w:rPr>
                <w:sz w:val="20"/>
                <w:szCs w:val="20"/>
                <w:color w:val="auto"/>
              </w:rPr>
            </w:pPr>
            <w:r>
              <w:rPr>
                <w:rFonts w:ascii="Arial" w:cs="Arial" w:eastAsia="Arial" w:hAnsi="Arial"/>
                <w:sz w:val="20"/>
                <w:szCs w:val="20"/>
                <w:b w:val="1"/>
                <w:bCs w:val="1"/>
                <w:color w:val="232F84"/>
              </w:rPr>
              <w:t>Inventory</w:t>
            </w: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09"/>
        </w:trPr>
        <w:tc>
          <w:tcPr>
            <w:tcW w:w="420" w:type="dxa"/>
            <w:vAlign w:val="bottom"/>
          </w:tcPr>
          <w:p>
            <w:pPr>
              <w:spacing w:after="0"/>
              <w:rPr>
                <w:sz w:val="24"/>
                <w:szCs w:val="24"/>
                <w:color w:val="auto"/>
              </w:rPr>
            </w:pPr>
          </w:p>
        </w:tc>
        <w:tc>
          <w:tcPr>
            <w:tcW w:w="4240" w:type="dxa"/>
            <w:vAlign w:val="bottom"/>
          </w:tcPr>
          <w:p>
            <w:pPr>
              <w:ind w:left="240"/>
              <w:spacing w:after="0"/>
              <w:rPr>
                <w:sz w:val="20"/>
                <w:szCs w:val="20"/>
                <w:color w:val="auto"/>
              </w:rPr>
            </w:pPr>
            <w:r>
              <w:rPr>
                <w:rFonts w:ascii="Arial" w:cs="Arial" w:eastAsia="Arial" w:hAnsi="Arial"/>
                <w:sz w:val="16"/>
                <w:szCs w:val="16"/>
                <w:color w:val="auto"/>
              </w:rPr>
              <w:t>Major classes of inventory were as follows: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466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gridSpan w:val="2"/>
          </w:tcPr>
          <w:p>
            <w:pPr>
              <w:spacing w:after="0"/>
              <w:rPr>
                <w:sz w:val="22"/>
                <w:szCs w:val="22"/>
                <w:color w:val="auto"/>
              </w:rPr>
            </w:pPr>
          </w:p>
        </w:tc>
      </w:tr>
      <w:tr>
        <w:trPr>
          <w:trHeight w:val="216"/>
        </w:trPr>
        <w:tc>
          <w:tcPr>
            <w:tcW w:w="466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80" w:type="dxa"/>
            <w:vAlign w:val="bottom"/>
            <w:shd w:val="clear" w:color="auto" w:fill="232F84"/>
          </w:tcPr>
          <w:p>
            <w:pPr>
              <w:spacing w:after="0"/>
              <w:rPr>
                <w:sz w:val="18"/>
                <w:szCs w:val="18"/>
                <w:color w:val="auto"/>
              </w:rPr>
            </w:pPr>
          </w:p>
        </w:tc>
        <w:tc>
          <w:tcPr>
            <w:tcW w:w="1120" w:type="dxa"/>
            <w:vAlign w:val="bottom"/>
            <w:shd w:val="clear" w:color="auto" w:fill="232F84"/>
          </w:tcPr>
          <w:p>
            <w:pPr>
              <w:spacing w:after="0"/>
              <w:rPr>
                <w:sz w:val="18"/>
                <w:szCs w:val="18"/>
                <w:color w:val="auto"/>
              </w:rPr>
            </w:pPr>
          </w:p>
        </w:tc>
        <w:tc>
          <w:tcPr>
            <w:tcW w:w="940" w:type="dxa"/>
            <w:vAlign w:val="bottom"/>
            <w:shd w:val="clear" w:color="auto" w:fill="232F84"/>
          </w:tcPr>
          <w:p>
            <w:pPr>
              <w:spacing w:after="0"/>
              <w:rPr>
                <w:sz w:val="18"/>
                <w:szCs w:val="18"/>
                <w:color w:val="auto"/>
              </w:rPr>
            </w:pPr>
          </w:p>
        </w:tc>
        <w:tc>
          <w:tcPr>
            <w:tcW w:w="660" w:type="dxa"/>
            <w:vAlign w:val="bottom"/>
            <w:shd w:val="clear" w:color="auto" w:fill="232F84"/>
          </w:tcPr>
          <w:p>
            <w:pPr>
              <w:spacing w:after="0"/>
              <w:rPr>
                <w:sz w:val="18"/>
                <w:szCs w:val="18"/>
                <w:color w:val="auto"/>
              </w:rPr>
            </w:pPr>
          </w:p>
        </w:tc>
        <w:tc>
          <w:tcPr>
            <w:tcW w:w="500" w:type="dxa"/>
            <w:vAlign w:val="bottom"/>
            <w:shd w:val="clear" w:color="auto" w:fill="232F84"/>
          </w:tcPr>
          <w:p>
            <w:pPr>
              <w:spacing w:after="0"/>
              <w:rPr>
                <w:sz w:val="18"/>
                <w:szCs w:val="18"/>
                <w:color w:val="auto"/>
              </w:rPr>
            </w:pPr>
          </w:p>
        </w:tc>
        <w:tc>
          <w:tcPr>
            <w:tcW w:w="12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April 30, 2021</w:t>
            </w:r>
          </w:p>
        </w:tc>
        <w:tc>
          <w:tcPr>
            <w:tcW w:w="380" w:type="dxa"/>
            <w:vAlign w:val="bottom"/>
            <w:shd w:val="clear" w:color="auto" w:fill="232F84"/>
          </w:tcPr>
          <w:p>
            <w:pPr>
              <w:spacing w:after="0"/>
              <w:rPr>
                <w:sz w:val="18"/>
                <w:szCs w:val="18"/>
                <w:color w:val="auto"/>
              </w:rPr>
            </w:pPr>
          </w:p>
        </w:tc>
        <w:tc>
          <w:tcPr>
            <w:tcW w:w="12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c>
          <w:tcPr>
            <w:tcW w:w="20" w:type="dxa"/>
            <w:vAlign w:val="bottom"/>
          </w:tcPr>
          <w:p>
            <w:pPr>
              <w:spacing w:after="0"/>
              <w:rPr>
                <w:sz w:val="18"/>
                <w:szCs w:val="18"/>
                <w:color w:val="auto"/>
              </w:rPr>
            </w:pPr>
          </w:p>
        </w:tc>
      </w:tr>
      <w:tr>
        <w:trPr>
          <w:trHeight w:val="216"/>
        </w:trPr>
        <w:tc>
          <w:tcPr>
            <w:tcW w:w="46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Finished goods</w:t>
            </w:r>
          </w:p>
        </w:tc>
        <w:tc>
          <w:tcPr>
            <w:tcW w:w="480" w:type="dxa"/>
            <w:vAlign w:val="bottom"/>
            <w:shd w:val="clear" w:color="auto" w:fill="43C0B9"/>
          </w:tcPr>
          <w:p>
            <w:pPr>
              <w:spacing w:after="0"/>
              <w:rPr>
                <w:sz w:val="18"/>
                <w:szCs w:val="18"/>
                <w:color w:val="auto"/>
              </w:rPr>
            </w:pPr>
          </w:p>
        </w:tc>
        <w:tc>
          <w:tcPr>
            <w:tcW w:w="112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660" w:type="dxa"/>
            <w:vAlign w:val="bottom"/>
            <w:shd w:val="clear" w:color="auto" w:fill="43C0B9"/>
          </w:tcPr>
          <w:p>
            <w:pPr>
              <w:spacing w:after="0"/>
              <w:rPr>
                <w:sz w:val="18"/>
                <w:szCs w:val="18"/>
                <w:color w:val="auto"/>
              </w:rPr>
            </w:pPr>
          </w:p>
        </w:tc>
        <w:tc>
          <w:tcPr>
            <w:tcW w:w="500" w:type="dxa"/>
            <w:vAlign w:val="bottom"/>
            <w:shd w:val="clear" w:color="auto" w:fill="43C0B9"/>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25.8</w:t>
            </w:r>
          </w:p>
        </w:tc>
        <w:tc>
          <w:tcPr>
            <w:tcW w:w="380" w:type="dxa"/>
            <w:vAlign w:val="bottom"/>
            <w:shd w:val="clear" w:color="auto" w:fill="43C0B9"/>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8"/>
                <w:szCs w:val="18"/>
                <w:color w:val="auto"/>
              </w:rPr>
            </w:pPr>
          </w:p>
        </w:tc>
      </w:tr>
      <w:tr>
        <w:trPr>
          <w:trHeight w:val="21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Crop growing costs</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38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8"/>
                <w:szCs w:val="18"/>
                <w:color w:val="auto"/>
              </w:rPr>
            </w:pPr>
          </w:p>
        </w:tc>
      </w:tr>
      <w:tr>
        <w:trPr>
          <w:trHeight w:val="216"/>
        </w:trPr>
        <w:tc>
          <w:tcPr>
            <w:tcW w:w="466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4"/>
                <w:szCs w:val="14"/>
                <w:color w:val="auto"/>
              </w:rPr>
              <w:t>Packaging and supplies</w:t>
            </w:r>
          </w:p>
        </w:tc>
        <w:tc>
          <w:tcPr>
            <w:tcW w:w="480" w:type="dxa"/>
            <w:vAlign w:val="bottom"/>
            <w:tcBorders>
              <w:bottom w:val="single" w:sz="8" w:color="auto"/>
            </w:tcBorders>
            <w:shd w:val="clear" w:color="auto" w:fill="43C0B9"/>
          </w:tcPr>
          <w:p>
            <w:pPr>
              <w:spacing w:after="0"/>
              <w:rPr>
                <w:sz w:val="18"/>
                <w:szCs w:val="18"/>
                <w:color w:val="auto"/>
              </w:rPr>
            </w:pPr>
          </w:p>
        </w:tc>
        <w:tc>
          <w:tcPr>
            <w:tcW w:w="1120" w:type="dxa"/>
            <w:vAlign w:val="bottom"/>
            <w:tcBorders>
              <w:bottom w:val="single" w:sz="8" w:color="auto"/>
            </w:tcBorders>
            <w:shd w:val="clear" w:color="auto" w:fill="43C0B9"/>
          </w:tcPr>
          <w:p>
            <w:pPr>
              <w:spacing w:after="0"/>
              <w:rPr>
                <w:sz w:val="18"/>
                <w:szCs w:val="18"/>
                <w:color w:val="auto"/>
              </w:rPr>
            </w:pPr>
          </w:p>
        </w:tc>
        <w:tc>
          <w:tcPr>
            <w:tcW w:w="940" w:type="dxa"/>
            <w:vAlign w:val="bottom"/>
            <w:tcBorders>
              <w:bottom w:val="single" w:sz="8" w:color="auto"/>
            </w:tcBorders>
            <w:shd w:val="clear" w:color="auto" w:fill="43C0B9"/>
          </w:tcPr>
          <w:p>
            <w:pPr>
              <w:spacing w:after="0"/>
              <w:rPr>
                <w:sz w:val="18"/>
                <w:szCs w:val="18"/>
                <w:color w:val="auto"/>
              </w:rPr>
            </w:pPr>
          </w:p>
        </w:tc>
        <w:tc>
          <w:tcPr>
            <w:tcW w:w="660" w:type="dxa"/>
            <w:vAlign w:val="bottom"/>
            <w:tcBorders>
              <w:bottom w:val="single" w:sz="8" w:color="auto"/>
            </w:tcBorders>
            <w:shd w:val="clear" w:color="auto" w:fill="43C0B9"/>
          </w:tcPr>
          <w:p>
            <w:pPr>
              <w:spacing w:after="0"/>
              <w:rPr>
                <w:sz w:val="18"/>
                <w:szCs w:val="18"/>
                <w:color w:val="auto"/>
              </w:rPr>
            </w:pPr>
          </w:p>
        </w:tc>
        <w:tc>
          <w:tcPr>
            <w:tcW w:w="500" w:type="dxa"/>
            <w:vAlign w:val="bottom"/>
            <w:tcBorders>
              <w:bottom w:val="single" w:sz="8" w:color="auto"/>
            </w:tcBorders>
            <w:shd w:val="clear" w:color="auto" w:fill="43C0B9"/>
          </w:tcPr>
          <w:p>
            <w:pPr>
              <w:spacing w:after="0"/>
              <w:rPr>
                <w:sz w:val="18"/>
                <w:szCs w:val="18"/>
                <w:color w:val="auto"/>
              </w:rPr>
            </w:pPr>
          </w:p>
        </w:tc>
        <w:tc>
          <w:tcPr>
            <w:tcW w:w="124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12.5</w:t>
            </w:r>
          </w:p>
        </w:tc>
        <w:tc>
          <w:tcPr>
            <w:tcW w:w="380" w:type="dxa"/>
            <w:vAlign w:val="bottom"/>
            <w:tcBorders>
              <w:bottom w:val="single" w:sz="8" w:color="auto"/>
            </w:tcBorders>
            <w:shd w:val="clear" w:color="auto" w:fill="43C0B9"/>
          </w:tcPr>
          <w:p>
            <w:pPr>
              <w:spacing w:after="0"/>
              <w:rPr>
                <w:sz w:val="18"/>
                <w:szCs w:val="18"/>
                <w:color w:val="auto"/>
              </w:rPr>
            </w:pPr>
          </w:p>
        </w:tc>
        <w:tc>
          <w:tcPr>
            <w:tcW w:w="124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8"/>
                <w:szCs w:val="18"/>
                <w:color w:val="auto"/>
              </w:rPr>
            </w:pPr>
          </w:p>
        </w:tc>
      </w:tr>
      <w:tr>
        <w:trPr>
          <w:trHeight w:val="209"/>
        </w:trPr>
        <w:tc>
          <w:tcPr>
            <w:tcW w:w="4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Inventory</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65.1</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38.6</w:t>
            </w:r>
          </w:p>
        </w:tc>
        <w:tc>
          <w:tcPr>
            <w:tcW w:w="20" w:type="dxa"/>
            <w:vAlign w:val="bottom"/>
          </w:tcPr>
          <w:p>
            <w:pPr>
              <w:spacing w:after="0"/>
              <w:rPr>
                <w:sz w:val="18"/>
                <w:szCs w:val="18"/>
                <w:color w:val="auto"/>
              </w:rPr>
            </w:pPr>
          </w:p>
        </w:tc>
      </w:tr>
      <w:tr>
        <w:trPr>
          <w:trHeight w:val="692"/>
        </w:trPr>
        <w:tc>
          <w:tcPr>
            <w:tcW w:w="4660" w:type="dxa"/>
            <w:vAlign w:val="bottom"/>
            <w:gridSpan w:val="2"/>
          </w:tcPr>
          <w:p>
            <w:pPr>
              <w:spacing w:after="0"/>
              <w:rPr>
                <w:sz w:val="20"/>
                <w:szCs w:val="20"/>
                <w:color w:val="auto"/>
              </w:rPr>
            </w:pPr>
            <w:r>
              <w:rPr>
                <w:rFonts w:ascii="Arial" w:cs="Arial" w:eastAsia="Arial" w:hAnsi="Arial"/>
                <w:sz w:val="20"/>
                <w:szCs w:val="20"/>
                <w:b w:val="1"/>
                <w:bCs w:val="1"/>
                <w:color w:val="232F84"/>
              </w:rPr>
              <w:t>3.  Details of Certain Account Balances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4660" w:type="dxa"/>
            <w:vAlign w:val="bottom"/>
            <w:gridSpan w:val="2"/>
          </w:tcPr>
          <w:p>
            <w:pPr>
              <w:spacing w:after="0"/>
              <w:rPr>
                <w:sz w:val="20"/>
                <w:szCs w:val="20"/>
                <w:color w:val="auto"/>
              </w:rPr>
            </w:pPr>
            <w:r>
              <w:rPr>
                <w:rFonts w:ascii="Arial" w:cs="Arial" w:eastAsia="Arial" w:hAnsi="Arial"/>
                <w:sz w:val="16"/>
                <w:szCs w:val="16"/>
                <w:b w:val="1"/>
                <w:bCs w:val="1"/>
                <w:i w:val="1"/>
                <w:iCs w:val="1"/>
                <w:color w:val="232F84"/>
              </w:rPr>
              <w:t>Accrued expenses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420" w:type="dxa"/>
            <w:vAlign w:val="bottom"/>
          </w:tcPr>
          <w:p>
            <w:pPr>
              <w:spacing w:after="0"/>
              <w:rPr>
                <w:sz w:val="24"/>
                <w:szCs w:val="24"/>
                <w:color w:val="auto"/>
              </w:rPr>
            </w:pPr>
          </w:p>
        </w:tc>
        <w:tc>
          <w:tcPr>
            <w:tcW w:w="4240" w:type="dxa"/>
            <w:vAlign w:val="bottom"/>
          </w:tcPr>
          <w:p>
            <w:pPr>
              <w:ind w:left="240"/>
              <w:spacing w:after="0"/>
              <w:rPr>
                <w:sz w:val="20"/>
                <w:szCs w:val="20"/>
                <w:color w:val="auto"/>
              </w:rPr>
            </w:pPr>
            <w:r>
              <w:rPr>
                <w:rFonts w:ascii="Arial" w:cs="Arial" w:eastAsia="Arial" w:hAnsi="Arial"/>
                <w:sz w:val="16"/>
                <w:szCs w:val="16"/>
                <w:color w:val="auto"/>
              </w:rPr>
              <w:t>Accrued expenses consisted of the following:</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66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gridSpan w:val="2"/>
          </w:tcPr>
          <w:p>
            <w:pPr>
              <w:spacing w:after="0"/>
              <w:rPr>
                <w:sz w:val="22"/>
                <w:szCs w:val="22"/>
                <w:color w:val="auto"/>
              </w:rPr>
            </w:pPr>
          </w:p>
        </w:tc>
      </w:tr>
      <w:tr>
        <w:trPr>
          <w:trHeight w:val="216"/>
        </w:trPr>
        <w:tc>
          <w:tcPr>
            <w:tcW w:w="466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80" w:type="dxa"/>
            <w:vAlign w:val="bottom"/>
            <w:shd w:val="clear" w:color="auto" w:fill="232F84"/>
          </w:tcPr>
          <w:p>
            <w:pPr>
              <w:spacing w:after="0"/>
              <w:rPr>
                <w:sz w:val="18"/>
                <w:szCs w:val="18"/>
                <w:color w:val="auto"/>
              </w:rPr>
            </w:pPr>
          </w:p>
        </w:tc>
        <w:tc>
          <w:tcPr>
            <w:tcW w:w="1120" w:type="dxa"/>
            <w:vAlign w:val="bottom"/>
            <w:shd w:val="clear" w:color="auto" w:fill="232F84"/>
          </w:tcPr>
          <w:p>
            <w:pPr>
              <w:spacing w:after="0"/>
              <w:rPr>
                <w:sz w:val="18"/>
                <w:szCs w:val="18"/>
                <w:color w:val="auto"/>
              </w:rPr>
            </w:pPr>
          </w:p>
        </w:tc>
        <w:tc>
          <w:tcPr>
            <w:tcW w:w="940" w:type="dxa"/>
            <w:vAlign w:val="bottom"/>
            <w:shd w:val="clear" w:color="auto" w:fill="232F84"/>
          </w:tcPr>
          <w:p>
            <w:pPr>
              <w:spacing w:after="0"/>
              <w:rPr>
                <w:sz w:val="18"/>
                <w:szCs w:val="18"/>
                <w:color w:val="auto"/>
              </w:rPr>
            </w:pPr>
          </w:p>
        </w:tc>
        <w:tc>
          <w:tcPr>
            <w:tcW w:w="660" w:type="dxa"/>
            <w:vAlign w:val="bottom"/>
            <w:shd w:val="clear" w:color="auto" w:fill="232F84"/>
          </w:tcPr>
          <w:p>
            <w:pPr>
              <w:spacing w:after="0"/>
              <w:rPr>
                <w:sz w:val="18"/>
                <w:szCs w:val="18"/>
                <w:color w:val="auto"/>
              </w:rPr>
            </w:pPr>
          </w:p>
        </w:tc>
        <w:tc>
          <w:tcPr>
            <w:tcW w:w="500" w:type="dxa"/>
            <w:vAlign w:val="bottom"/>
            <w:shd w:val="clear" w:color="auto" w:fill="232F84"/>
          </w:tcPr>
          <w:p>
            <w:pPr>
              <w:spacing w:after="0"/>
              <w:rPr>
                <w:sz w:val="18"/>
                <w:szCs w:val="18"/>
                <w:color w:val="auto"/>
              </w:rPr>
            </w:pPr>
          </w:p>
        </w:tc>
        <w:tc>
          <w:tcPr>
            <w:tcW w:w="12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April 30, 2021</w:t>
            </w:r>
          </w:p>
        </w:tc>
        <w:tc>
          <w:tcPr>
            <w:tcW w:w="380" w:type="dxa"/>
            <w:vAlign w:val="bottom"/>
            <w:shd w:val="clear" w:color="auto" w:fill="232F84"/>
          </w:tcPr>
          <w:p>
            <w:pPr>
              <w:spacing w:after="0"/>
              <w:rPr>
                <w:sz w:val="18"/>
                <w:szCs w:val="18"/>
                <w:color w:val="auto"/>
              </w:rPr>
            </w:pPr>
          </w:p>
        </w:tc>
        <w:tc>
          <w:tcPr>
            <w:tcW w:w="12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c>
          <w:tcPr>
            <w:tcW w:w="20" w:type="dxa"/>
            <w:vAlign w:val="bottom"/>
          </w:tcPr>
          <w:p>
            <w:pPr>
              <w:spacing w:after="0"/>
              <w:rPr>
                <w:sz w:val="18"/>
                <w:szCs w:val="18"/>
                <w:color w:val="auto"/>
              </w:rPr>
            </w:pPr>
          </w:p>
        </w:tc>
      </w:tr>
      <w:tr>
        <w:trPr>
          <w:trHeight w:val="216"/>
        </w:trPr>
        <w:tc>
          <w:tcPr>
            <w:tcW w:w="46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Employee-related</w:t>
            </w:r>
          </w:p>
        </w:tc>
        <w:tc>
          <w:tcPr>
            <w:tcW w:w="480" w:type="dxa"/>
            <w:vAlign w:val="bottom"/>
            <w:shd w:val="clear" w:color="auto" w:fill="43C0B9"/>
          </w:tcPr>
          <w:p>
            <w:pPr>
              <w:spacing w:after="0"/>
              <w:rPr>
                <w:sz w:val="18"/>
                <w:szCs w:val="18"/>
                <w:color w:val="auto"/>
              </w:rPr>
            </w:pPr>
          </w:p>
        </w:tc>
        <w:tc>
          <w:tcPr>
            <w:tcW w:w="112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660" w:type="dxa"/>
            <w:vAlign w:val="bottom"/>
            <w:shd w:val="clear" w:color="auto" w:fill="43C0B9"/>
          </w:tcPr>
          <w:p>
            <w:pPr>
              <w:spacing w:after="0"/>
              <w:rPr>
                <w:sz w:val="18"/>
                <w:szCs w:val="18"/>
                <w:color w:val="auto"/>
              </w:rPr>
            </w:pPr>
          </w:p>
        </w:tc>
        <w:tc>
          <w:tcPr>
            <w:tcW w:w="500" w:type="dxa"/>
            <w:vAlign w:val="bottom"/>
            <w:shd w:val="clear" w:color="auto" w:fill="43C0B9"/>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12.8</w:t>
            </w:r>
          </w:p>
        </w:tc>
        <w:tc>
          <w:tcPr>
            <w:tcW w:w="380" w:type="dxa"/>
            <w:vAlign w:val="bottom"/>
            <w:shd w:val="clear" w:color="auto" w:fill="43C0B9"/>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18"/>
                <w:szCs w:val="18"/>
                <w:color w:val="auto"/>
              </w:rPr>
            </w:pPr>
          </w:p>
        </w:tc>
      </w:tr>
      <w:tr>
        <w:trPr>
          <w:trHeight w:val="21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Freight</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38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8"/>
                <w:szCs w:val="18"/>
                <w:color w:val="auto"/>
              </w:rPr>
            </w:pPr>
          </w:p>
        </w:tc>
      </w:tr>
      <w:tr>
        <w:trPr>
          <w:trHeight w:val="222"/>
        </w:trPr>
        <w:tc>
          <w:tcPr>
            <w:tcW w:w="46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Construction-in-progress</w:t>
            </w:r>
          </w:p>
        </w:tc>
        <w:tc>
          <w:tcPr>
            <w:tcW w:w="480" w:type="dxa"/>
            <w:vAlign w:val="bottom"/>
            <w:shd w:val="clear" w:color="auto" w:fill="43C0B9"/>
          </w:tcPr>
          <w:p>
            <w:pPr>
              <w:spacing w:after="0"/>
              <w:rPr>
                <w:sz w:val="19"/>
                <w:szCs w:val="19"/>
                <w:color w:val="auto"/>
              </w:rPr>
            </w:pPr>
          </w:p>
        </w:tc>
        <w:tc>
          <w:tcPr>
            <w:tcW w:w="1120" w:type="dxa"/>
            <w:vAlign w:val="bottom"/>
            <w:shd w:val="clear" w:color="auto" w:fill="43C0B9"/>
          </w:tcPr>
          <w:p>
            <w:pPr>
              <w:spacing w:after="0"/>
              <w:rPr>
                <w:sz w:val="19"/>
                <w:szCs w:val="19"/>
                <w:color w:val="auto"/>
              </w:rPr>
            </w:pPr>
          </w:p>
        </w:tc>
        <w:tc>
          <w:tcPr>
            <w:tcW w:w="940" w:type="dxa"/>
            <w:vAlign w:val="bottom"/>
            <w:shd w:val="clear" w:color="auto" w:fill="43C0B9"/>
          </w:tcPr>
          <w:p>
            <w:pPr>
              <w:spacing w:after="0"/>
              <w:rPr>
                <w:sz w:val="19"/>
                <w:szCs w:val="19"/>
                <w:color w:val="auto"/>
              </w:rPr>
            </w:pPr>
          </w:p>
        </w:tc>
        <w:tc>
          <w:tcPr>
            <w:tcW w:w="660" w:type="dxa"/>
            <w:vAlign w:val="bottom"/>
            <w:shd w:val="clear" w:color="auto" w:fill="43C0B9"/>
          </w:tcPr>
          <w:p>
            <w:pPr>
              <w:spacing w:after="0"/>
              <w:rPr>
                <w:sz w:val="19"/>
                <w:szCs w:val="19"/>
                <w:color w:val="auto"/>
              </w:rPr>
            </w:pPr>
          </w:p>
        </w:tc>
        <w:tc>
          <w:tcPr>
            <w:tcW w:w="500" w:type="dxa"/>
            <w:vAlign w:val="bottom"/>
            <w:shd w:val="clear" w:color="auto" w:fill="43C0B9"/>
          </w:tcPr>
          <w:p>
            <w:pPr>
              <w:spacing w:after="0"/>
              <w:rPr>
                <w:sz w:val="19"/>
                <w:szCs w:val="19"/>
                <w:color w:val="auto"/>
              </w:rPr>
            </w:pPr>
          </w:p>
        </w:tc>
        <w:tc>
          <w:tcPr>
            <w:tcW w:w="124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3.1</w:t>
            </w:r>
          </w:p>
        </w:tc>
        <w:tc>
          <w:tcPr>
            <w:tcW w:w="380" w:type="dxa"/>
            <w:vAlign w:val="bottom"/>
            <w:shd w:val="clear" w:color="auto" w:fill="43C0B9"/>
          </w:tcPr>
          <w:p>
            <w:pPr>
              <w:spacing w:after="0"/>
              <w:rPr>
                <w:sz w:val="19"/>
                <w:szCs w:val="19"/>
                <w:color w:val="auto"/>
              </w:rPr>
            </w:pPr>
          </w:p>
        </w:tc>
        <w:tc>
          <w:tcPr>
            <w:tcW w:w="124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9"/>
                <w:szCs w:val="19"/>
                <w:color w:val="auto"/>
              </w:rPr>
            </w:pPr>
          </w:p>
        </w:tc>
      </w:tr>
      <w:tr>
        <w:trPr>
          <w:trHeight w:val="21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8"/>
                <w:szCs w:val="18"/>
                <w:color w:val="auto"/>
              </w:rPr>
            </w:pPr>
          </w:p>
        </w:tc>
      </w:tr>
      <w:tr>
        <w:trPr>
          <w:trHeight w:val="222"/>
        </w:trPr>
        <w:tc>
          <w:tcPr>
            <w:tcW w:w="46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Outside fruit purchase</w:t>
            </w:r>
          </w:p>
        </w:tc>
        <w:tc>
          <w:tcPr>
            <w:tcW w:w="480" w:type="dxa"/>
            <w:vAlign w:val="bottom"/>
            <w:shd w:val="clear" w:color="auto" w:fill="43C0B9"/>
          </w:tcPr>
          <w:p>
            <w:pPr>
              <w:spacing w:after="0"/>
              <w:rPr>
                <w:sz w:val="19"/>
                <w:szCs w:val="19"/>
                <w:color w:val="auto"/>
              </w:rPr>
            </w:pPr>
          </w:p>
        </w:tc>
        <w:tc>
          <w:tcPr>
            <w:tcW w:w="1120" w:type="dxa"/>
            <w:vAlign w:val="bottom"/>
            <w:shd w:val="clear" w:color="auto" w:fill="43C0B9"/>
          </w:tcPr>
          <w:p>
            <w:pPr>
              <w:spacing w:after="0"/>
              <w:rPr>
                <w:sz w:val="19"/>
                <w:szCs w:val="19"/>
                <w:color w:val="auto"/>
              </w:rPr>
            </w:pPr>
          </w:p>
        </w:tc>
        <w:tc>
          <w:tcPr>
            <w:tcW w:w="940" w:type="dxa"/>
            <w:vAlign w:val="bottom"/>
            <w:shd w:val="clear" w:color="auto" w:fill="43C0B9"/>
          </w:tcPr>
          <w:p>
            <w:pPr>
              <w:spacing w:after="0"/>
              <w:rPr>
                <w:sz w:val="19"/>
                <w:szCs w:val="19"/>
                <w:color w:val="auto"/>
              </w:rPr>
            </w:pPr>
          </w:p>
        </w:tc>
        <w:tc>
          <w:tcPr>
            <w:tcW w:w="660" w:type="dxa"/>
            <w:vAlign w:val="bottom"/>
            <w:shd w:val="clear" w:color="auto" w:fill="43C0B9"/>
          </w:tcPr>
          <w:p>
            <w:pPr>
              <w:spacing w:after="0"/>
              <w:rPr>
                <w:sz w:val="19"/>
                <w:szCs w:val="19"/>
                <w:color w:val="auto"/>
              </w:rPr>
            </w:pPr>
          </w:p>
        </w:tc>
        <w:tc>
          <w:tcPr>
            <w:tcW w:w="500" w:type="dxa"/>
            <w:vAlign w:val="bottom"/>
            <w:shd w:val="clear" w:color="auto" w:fill="43C0B9"/>
          </w:tcPr>
          <w:p>
            <w:pPr>
              <w:spacing w:after="0"/>
              <w:rPr>
                <w:sz w:val="19"/>
                <w:szCs w:val="19"/>
                <w:color w:val="auto"/>
              </w:rPr>
            </w:pPr>
          </w:p>
        </w:tc>
        <w:tc>
          <w:tcPr>
            <w:tcW w:w="124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2.1</w:t>
            </w:r>
          </w:p>
        </w:tc>
        <w:tc>
          <w:tcPr>
            <w:tcW w:w="380" w:type="dxa"/>
            <w:vAlign w:val="bottom"/>
            <w:shd w:val="clear" w:color="auto" w:fill="43C0B9"/>
          </w:tcPr>
          <w:p>
            <w:pPr>
              <w:spacing w:after="0"/>
              <w:rPr>
                <w:sz w:val="19"/>
                <w:szCs w:val="19"/>
                <w:color w:val="auto"/>
              </w:rPr>
            </w:pPr>
          </w:p>
        </w:tc>
        <w:tc>
          <w:tcPr>
            <w:tcW w:w="124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9"/>
                <w:szCs w:val="19"/>
                <w:color w:val="auto"/>
              </w:rPr>
            </w:pPr>
          </w:p>
        </w:tc>
      </w:tr>
      <w:tr>
        <w:trPr>
          <w:trHeight w:val="210"/>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4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8"/>
                <w:szCs w:val="18"/>
                <w:color w:val="auto"/>
              </w:rPr>
            </w:pPr>
          </w:p>
        </w:tc>
      </w:tr>
      <w:tr>
        <w:trPr>
          <w:trHeight w:val="209"/>
        </w:trPr>
        <w:tc>
          <w:tcPr>
            <w:tcW w:w="466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4"/>
                <w:szCs w:val="14"/>
                <w:color w:val="auto"/>
              </w:rPr>
              <w:t>Accrued expenses</w:t>
            </w:r>
          </w:p>
        </w:tc>
        <w:tc>
          <w:tcPr>
            <w:tcW w:w="480" w:type="dxa"/>
            <w:vAlign w:val="bottom"/>
            <w:tcBorders>
              <w:bottom w:val="single" w:sz="8" w:color="auto"/>
            </w:tcBorders>
            <w:shd w:val="clear" w:color="auto" w:fill="43C0B9"/>
          </w:tcPr>
          <w:p>
            <w:pPr>
              <w:spacing w:after="0"/>
              <w:rPr>
                <w:sz w:val="18"/>
                <w:szCs w:val="18"/>
                <w:color w:val="auto"/>
              </w:rPr>
            </w:pPr>
          </w:p>
        </w:tc>
        <w:tc>
          <w:tcPr>
            <w:tcW w:w="1120" w:type="dxa"/>
            <w:vAlign w:val="bottom"/>
            <w:tcBorders>
              <w:bottom w:val="single" w:sz="8" w:color="auto"/>
            </w:tcBorders>
            <w:shd w:val="clear" w:color="auto" w:fill="43C0B9"/>
          </w:tcPr>
          <w:p>
            <w:pPr>
              <w:spacing w:after="0"/>
              <w:rPr>
                <w:sz w:val="18"/>
                <w:szCs w:val="18"/>
                <w:color w:val="auto"/>
              </w:rPr>
            </w:pPr>
          </w:p>
        </w:tc>
        <w:tc>
          <w:tcPr>
            <w:tcW w:w="940" w:type="dxa"/>
            <w:vAlign w:val="bottom"/>
            <w:tcBorders>
              <w:bottom w:val="single" w:sz="8" w:color="auto"/>
            </w:tcBorders>
            <w:shd w:val="clear" w:color="auto" w:fill="43C0B9"/>
          </w:tcPr>
          <w:p>
            <w:pPr>
              <w:spacing w:after="0"/>
              <w:rPr>
                <w:sz w:val="18"/>
                <w:szCs w:val="18"/>
                <w:color w:val="auto"/>
              </w:rPr>
            </w:pPr>
          </w:p>
        </w:tc>
        <w:tc>
          <w:tcPr>
            <w:tcW w:w="660" w:type="dxa"/>
            <w:vAlign w:val="bottom"/>
            <w:tcBorders>
              <w:bottom w:val="single" w:sz="8" w:color="auto"/>
            </w:tcBorders>
            <w:shd w:val="clear" w:color="auto" w:fill="43C0B9"/>
          </w:tcPr>
          <w:p>
            <w:pPr>
              <w:spacing w:after="0"/>
              <w:rPr>
                <w:sz w:val="18"/>
                <w:szCs w:val="18"/>
                <w:color w:val="auto"/>
              </w:rPr>
            </w:pPr>
          </w:p>
        </w:tc>
        <w:tc>
          <w:tcPr>
            <w:tcW w:w="500" w:type="dxa"/>
            <w:vAlign w:val="bottom"/>
            <w:tcBorders>
              <w:bottom w:val="single" w:sz="8" w:color="auto"/>
            </w:tcBorders>
            <w:shd w:val="clear" w:color="auto" w:fill="43C0B9"/>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33.7</w:t>
            </w:r>
          </w:p>
        </w:tc>
        <w:tc>
          <w:tcPr>
            <w:tcW w:w="380" w:type="dxa"/>
            <w:vAlign w:val="bottom"/>
            <w:tcBorders>
              <w:bottom w:val="single" w:sz="8" w:color="auto"/>
            </w:tcBorders>
            <w:shd w:val="clear" w:color="auto" w:fill="43C0B9"/>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28.3</w:t>
            </w:r>
          </w:p>
        </w:tc>
        <w:tc>
          <w:tcPr>
            <w:tcW w:w="20" w:type="dxa"/>
            <w:vAlign w:val="bottom"/>
          </w:tcPr>
          <w:p>
            <w:pPr>
              <w:spacing w:after="0"/>
              <w:rPr>
                <w:sz w:val="18"/>
                <w:szCs w:val="18"/>
                <w:color w:val="auto"/>
              </w:rPr>
            </w:pPr>
          </w:p>
        </w:tc>
      </w:tr>
      <w:tr>
        <w:trPr>
          <w:trHeight w:val="412"/>
        </w:trPr>
        <w:tc>
          <w:tcPr>
            <w:tcW w:w="4660" w:type="dxa"/>
            <w:vAlign w:val="bottom"/>
            <w:gridSpan w:val="2"/>
          </w:tcPr>
          <w:p>
            <w:pPr>
              <w:spacing w:after="0"/>
              <w:rPr>
                <w:sz w:val="20"/>
                <w:szCs w:val="20"/>
                <w:color w:val="auto"/>
              </w:rPr>
            </w:pPr>
            <w:r>
              <w:rPr>
                <w:rFonts w:ascii="Arial" w:cs="Arial" w:eastAsia="Arial" w:hAnsi="Arial"/>
                <w:sz w:val="16"/>
                <w:szCs w:val="16"/>
                <w:b w:val="1"/>
                <w:bCs w:val="1"/>
                <w:i w:val="1"/>
                <w:iCs w:val="1"/>
                <w:color w:val="232F84"/>
              </w:rPr>
              <w:t>Other (expense) income</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420" w:type="dxa"/>
            <w:vAlign w:val="bottom"/>
          </w:tcPr>
          <w:p>
            <w:pPr>
              <w:spacing w:after="0"/>
              <w:rPr>
                <w:sz w:val="24"/>
                <w:szCs w:val="24"/>
                <w:color w:val="auto"/>
              </w:rPr>
            </w:pPr>
          </w:p>
        </w:tc>
        <w:tc>
          <w:tcPr>
            <w:tcW w:w="4240" w:type="dxa"/>
            <w:vAlign w:val="bottom"/>
          </w:tcPr>
          <w:p>
            <w:pPr>
              <w:ind w:left="240"/>
              <w:spacing w:after="0"/>
              <w:rPr>
                <w:sz w:val="20"/>
                <w:szCs w:val="20"/>
                <w:color w:val="auto"/>
              </w:rPr>
            </w:pPr>
            <w:r>
              <w:rPr>
                <w:rFonts w:ascii="Arial" w:cs="Arial" w:eastAsia="Arial" w:hAnsi="Arial"/>
                <w:sz w:val="16"/>
                <w:szCs w:val="16"/>
                <w:color w:val="auto"/>
              </w:rPr>
              <w:t>Other (expense) income consisted of the following:</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6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80" w:type="dxa"/>
            <w:vAlign w:val="bottom"/>
            <w:gridSpan w:val="4"/>
          </w:tcPr>
          <w:p>
            <w:pPr>
              <w:spacing w:after="0"/>
              <w:rPr>
                <w:sz w:val="22"/>
                <w:szCs w:val="22"/>
                <w:color w:val="auto"/>
              </w:rPr>
            </w:pPr>
          </w:p>
        </w:tc>
      </w:tr>
      <w:tr>
        <w:trPr>
          <w:trHeight w:val="176"/>
        </w:trPr>
        <w:tc>
          <w:tcPr>
            <w:tcW w:w="420" w:type="dxa"/>
            <w:vAlign w:val="bottom"/>
            <w:shd w:val="clear" w:color="auto" w:fill="232F84"/>
          </w:tcPr>
          <w:p>
            <w:pPr>
              <w:spacing w:after="0"/>
              <w:rPr>
                <w:sz w:val="15"/>
                <w:szCs w:val="15"/>
                <w:color w:val="auto"/>
              </w:rPr>
            </w:pPr>
          </w:p>
        </w:tc>
        <w:tc>
          <w:tcPr>
            <w:tcW w:w="4240" w:type="dxa"/>
            <w:vAlign w:val="bottom"/>
            <w:shd w:val="clear" w:color="auto" w:fill="232F84"/>
          </w:tcPr>
          <w:p>
            <w:pPr>
              <w:spacing w:after="0"/>
              <w:rPr>
                <w:sz w:val="15"/>
                <w:szCs w:val="15"/>
                <w:color w:val="auto"/>
              </w:rPr>
            </w:pPr>
          </w:p>
        </w:tc>
        <w:tc>
          <w:tcPr>
            <w:tcW w:w="48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660" w:type="dxa"/>
            <w:vAlign w:val="bottom"/>
            <w:shd w:val="clear" w:color="auto" w:fill="232F84"/>
          </w:tcPr>
          <w:p>
            <w:pPr>
              <w:spacing w:after="0"/>
              <w:rPr>
                <w:sz w:val="15"/>
                <w:szCs w:val="15"/>
                <w:color w:val="auto"/>
              </w:rPr>
            </w:pPr>
          </w:p>
        </w:tc>
        <w:tc>
          <w:tcPr>
            <w:tcW w:w="500" w:type="dxa"/>
            <w:vAlign w:val="bottom"/>
            <w:shd w:val="clear" w:color="auto" w:fill="232F84"/>
          </w:tcPr>
          <w:p>
            <w:pPr>
              <w:spacing w:after="0"/>
              <w:rPr>
                <w:sz w:val="15"/>
                <w:szCs w:val="15"/>
                <w:color w:val="auto"/>
              </w:rPr>
            </w:pPr>
          </w:p>
        </w:tc>
        <w:tc>
          <w:tcPr>
            <w:tcW w:w="2880" w:type="dxa"/>
            <w:vAlign w:val="bottom"/>
            <w:gridSpan w:val="4"/>
            <w:shd w:val="clear" w:color="auto" w:fill="232F84"/>
          </w:tcPr>
          <w:p>
            <w:pPr>
              <w:ind w:left="640"/>
              <w:spacing w:after="0"/>
              <w:rPr>
                <w:sz w:val="20"/>
                <w:szCs w:val="20"/>
                <w:color w:val="auto"/>
              </w:rPr>
            </w:pPr>
            <w:r>
              <w:rPr>
                <w:rFonts w:ascii="Arial" w:cs="Arial" w:eastAsia="Arial" w:hAnsi="Arial"/>
                <w:sz w:val="14"/>
                <w:szCs w:val="14"/>
                <w:b w:val="1"/>
                <w:bCs w:val="1"/>
                <w:color w:val="FFFFFF"/>
              </w:rPr>
              <w:t>Six Months Ended</w:t>
            </w:r>
          </w:p>
        </w:tc>
      </w:tr>
      <w:tr>
        <w:trPr>
          <w:trHeight w:val="206"/>
        </w:trPr>
        <w:tc>
          <w:tcPr>
            <w:tcW w:w="420" w:type="dxa"/>
            <w:vAlign w:val="bottom"/>
            <w:shd w:val="clear" w:color="auto" w:fill="232F84"/>
          </w:tcPr>
          <w:p>
            <w:pPr>
              <w:spacing w:after="0"/>
              <w:rPr>
                <w:sz w:val="17"/>
                <w:szCs w:val="17"/>
                <w:color w:val="auto"/>
              </w:rPr>
            </w:pPr>
          </w:p>
        </w:tc>
        <w:tc>
          <w:tcPr>
            <w:tcW w:w="4240" w:type="dxa"/>
            <w:vAlign w:val="bottom"/>
            <w:shd w:val="clear" w:color="auto" w:fill="232F84"/>
          </w:tcPr>
          <w:p>
            <w:pPr>
              <w:spacing w:after="0"/>
              <w:rPr>
                <w:sz w:val="17"/>
                <w:szCs w:val="17"/>
                <w:color w:val="auto"/>
              </w:rPr>
            </w:pPr>
          </w:p>
        </w:tc>
        <w:tc>
          <w:tcPr>
            <w:tcW w:w="48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right"/>
              <w:ind w:right="588"/>
              <w:spacing w:after="0"/>
              <w:rPr>
                <w:sz w:val="20"/>
                <w:szCs w:val="20"/>
                <w:color w:val="auto"/>
              </w:rPr>
            </w:pPr>
            <w:r>
              <w:rPr>
                <w:rFonts w:ascii="Arial" w:cs="Arial" w:eastAsia="Arial" w:hAnsi="Arial"/>
                <w:sz w:val="14"/>
                <w:szCs w:val="14"/>
                <w:b w:val="1"/>
                <w:bCs w:val="1"/>
                <w:color w:val="FFFFFF"/>
              </w:rPr>
              <w:t>April 30,</w:t>
            </w:r>
          </w:p>
        </w:tc>
        <w:tc>
          <w:tcPr>
            <w:tcW w:w="660" w:type="dxa"/>
            <w:vAlign w:val="bottom"/>
            <w:shd w:val="clear" w:color="auto" w:fill="232F84"/>
          </w:tcPr>
          <w:p>
            <w:pPr>
              <w:spacing w:after="0"/>
              <w:rPr>
                <w:sz w:val="17"/>
                <w:szCs w:val="17"/>
                <w:color w:val="auto"/>
              </w:rPr>
            </w:pPr>
          </w:p>
        </w:tc>
        <w:tc>
          <w:tcPr>
            <w:tcW w:w="500" w:type="dxa"/>
            <w:vAlign w:val="bottom"/>
            <w:shd w:val="clear" w:color="auto" w:fill="232F84"/>
          </w:tcPr>
          <w:p>
            <w:pPr>
              <w:spacing w:after="0"/>
              <w:rPr>
                <w:sz w:val="17"/>
                <w:szCs w:val="17"/>
                <w:color w:val="auto"/>
              </w:rPr>
            </w:pPr>
          </w:p>
        </w:tc>
        <w:tc>
          <w:tcPr>
            <w:tcW w:w="1620" w:type="dxa"/>
            <w:vAlign w:val="bottom"/>
            <w:gridSpan w:val="2"/>
            <w:shd w:val="clear" w:color="auto" w:fill="232F84"/>
          </w:tcPr>
          <w:p>
            <w:pPr>
              <w:jc w:val="right"/>
              <w:ind w:right="8"/>
              <w:spacing w:after="0"/>
              <w:rPr>
                <w:sz w:val="20"/>
                <w:szCs w:val="20"/>
                <w:color w:val="auto"/>
              </w:rPr>
            </w:pPr>
            <w:r>
              <w:rPr>
                <w:rFonts w:ascii="Arial" w:cs="Arial" w:eastAsia="Arial" w:hAnsi="Arial"/>
                <w:sz w:val="14"/>
                <w:szCs w:val="14"/>
                <w:b w:val="1"/>
                <w:bCs w:val="1"/>
                <w:color w:val="FFFFFF"/>
              </w:rPr>
              <w:t>April 30,</w:t>
            </w:r>
          </w:p>
        </w:tc>
        <w:tc>
          <w:tcPr>
            <w:tcW w:w="1240" w:type="dxa"/>
            <w:vAlign w:val="bottom"/>
            <w:shd w:val="clear" w:color="auto" w:fill="232F84"/>
          </w:tcPr>
          <w:p>
            <w:pPr>
              <w:spacing w:after="0"/>
              <w:rPr>
                <w:sz w:val="17"/>
                <w:szCs w:val="17"/>
                <w:color w:val="auto"/>
              </w:rPr>
            </w:pPr>
          </w:p>
        </w:tc>
        <w:tc>
          <w:tcPr>
            <w:tcW w:w="20" w:type="dxa"/>
            <w:vAlign w:val="bottom"/>
            <w:shd w:val="clear" w:color="auto" w:fill="232F84"/>
          </w:tcPr>
          <w:p>
            <w:pPr>
              <w:spacing w:after="0"/>
              <w:rPr>
                <w:sz w:val="17"/>
                <w:szCs w:val="17"/>
                <w:color w:val="auto"/>
              </w:rPr>
            </w:pPr>
          </w:p>
        </w:tc>
      </w:tr>
      <w:tr>
        <w:trPr>
          <w:trHeight w:val="226"/>
        </w:trPr>
        <w:tc>
          <w:tcPr>
            <w:tcW w:w="466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80" w:type="dxa"/>
            <w:vAlign w:val="bottom"/>
            <w:shd w:val="clear" w:color="auto" w:fill="232F84"/>
          </w:tcPr>
          <w:p>
            <w:pPr>
              <w:spacing w:after="0"/>
              <w:rPr>
                <w:sz w:val="19"/>
                <w:szCs w:val="19"/>
                <w:color w:val="auto"/>
              </w:rPr>
            </w:pPr>
          </w:p>
        </w:tc>
        <w:tc>
          <w:tcPr>
            <w:tcW w:w="1120" w:type="dxa"/>
            <w:vAlign w:val="bottom"/>
            <w:shd w:val="clear" w:color="auto" w:fill="232F84"/>
          </w:tcPr>
          <w:p>
            <w:pPr>
              <w:jc w:val="right"/>
              <w:ind w:right="87"/>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66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c>
          <w:tcPr>
            <w:tcW w:w="500" w:type="dxa"/>
            <w:vAlign w:val="bottom"/>
            <w:shd w:val="clear" w:color="auto" w:fill="232F84"/>
          </w:tcPr>
          <w:p>
            <w:pPr>
              <w:spacing w:after="0"/>
              <w:rPr>
                <w:sz w:val="19"/>
                <w:szCs w:val="19"/>
                <w:color w:val="auto"/>
              </w:rPr>
            </w:pPr>
          </w:p>
        </w:tc>
        <w:tc>
          <w:tcPr>
            <w:tcW w:w="124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380" w:type="dxa"/>
            <w:vAlign w:val="bottom"/>
            <w:shd w:val="clear" w:color="auto" w:fill="232F84"/>
          </w:tcPr>
          <w:p>
            <w:pPr>
              <w:spacing w:after="0"/>
              <w:rPr>
                <w:sz w:val="19"/>
                <w:szCs w:val="19"/>
                <w:color w:val="auto"/>
              </w:rPr>
            </w:pPr>
          </w:p>
        </w:tc>
        <w:tc>
          <w:tcPr>
            <w:tcW w:w="1240" w:type="dxa"/>
            <w:vAlign w:val="bottom"/>
            <w:shd w:val="clear" w:color="auto" w:fill="232F84"/>
          </w:tcPr>
          <w:p>
            <w:pPr>
              <w:jc w:val="right"/>
              <w:ind w:right="28"/>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232F84"/>
          </w:tcPr>
          <w:p>
            <w:pPr>
              <w:spacing w:after="0"/>
              <w:rPr>
                <w:sz w:val="19"/>
                <w:szCs w:val="19"/>
                <w:color w:val="auto"/>
              </w:rPr>
            </w:pPr>
          </w:p>
        </w:tc>
      </w:tr>
      <w:tr>
        <w:trPr>
          <w:trHeight w:val="216"/>
        </w:trPr>
        <w:tc>
          <w:tcPr>
            <w:tcW w:w="46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Gains (losses) on derivative financial instruments</w:t>
            </w:r>
          </w:p>
        </w:tc>
        <w:tc>
          <w:tcPr>
            <w:tcW w:w="480" w:type="dxa"/>
            <w:vAlign w:val="bottom"/>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center"/>
              <w:ind w:left="647"/>
              <w:spacing w:after="0"/>
              <w:rPr>
                <w:sz w:val="20"/>
                <w:szCs w:val="20"/>
                <w:color w:val="auto"/>
              </w:rPr>
            </w:pPr>
            <w:r>
              <w:rPr>
                <w:rFonts w:ascii="Arial" w:cs="Arial" w:eastAsia="Arial" w:hAnsi="Arial"/>
                <w:sz w:val="14"/>
                <w:szCs w:val="14"/>
                <w:color w:val="auto"/>
              </w:rPr>
              <w:t>0.3</w:t>
            </w:r>
          </w:p>
        </w:tc>
        <w:tc>
          <w:tcPr>
            <w:tcW w:w="94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shd w:val="clear" w:color="auto" w:fill="43C0B9"/>
          </w:tcPr>
          <w:p>
            <w:pPr>
              <w:jc w:val="center"/>
              <w:ind w:left="248"/>
              <w:spacing w:after="0"/>
              <w:rPr>
                <w:sz w:val="20"/>
                <w:szCs w:val="20"/>
                <w:color w:val="auto"/>
              </w:rPr>
            </w:pPr>
            <w:r>
              <w:rPr>
                <w:rFonts w:ascii="Arial" w:cs="Arial" w:eastAsia="Arial" w:hAnsi="Arial"/>
                <w:sz w:val="14"/>
                <w:szCs w:val="14"/>
                <w:color w:val="auto"/>
              </w:rPr>
              <w:t>(3.1)</w:t>
            </w:r>
          </w:p>
        </w:tc>
        <w:tc>
          <w:tcPr>
            <w:tcW w:w="500" w:type="dxa"/>
            <w:vAlign w:val="bottom"/>
            <w:shd w:val="clear" w:color="auto" w:fill="43C0B9"/>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43C0B9"/>
          </w:tcPr>
          <w:p>
            <w:pPr>
              <w:jc w:val="center"/>
              <w:ind w:left="808"/>
              <w:spacing w:after="0"/>
              <w:rPr>
                <w:sz w:val="20"/>
                <w:szCs w:val="20"/>
                <w:color w:val="auto"/>
              </w:rPr>
            </w:pPr>
            <w:r>
              <w:rPr>
                <w:rFonts w:ascii="Arial" w:cs="Arial" w:eastAsia="Arial" w:hAnsi="Arial"/>
                <w:sz w:val="14"/>
                <w:szCs w:val="14"/>
                <w:color w:val="auto"/>
              </w:rPr>
              <w:t>0.3</w:t>
            </w:r>
          </w:p>
        </w:tc>
        <w:tc>
          <w:tcPr>
            <w:tcW w:w="380" w:type="dxa"/>
            <w:vAlign w:val="bottom"/>
            <w:shd w:val="clear" w:color="auto" w:fill="43C0B9"/>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43C0B9"/>
          </w:tcPr>
          <w:p>
            <w:pPr>
              <w:jc w:val="center"/>
              <w:ind w:left="848"/>
              <w:spacing w:after="0"/>
              <w:rPr>
                <w:sz w:val="20"/>
                <w:szCs w:val="20"/>
                <w:color w:val="auto"/>
              </w:rPr>
            </w:pPr>
            <w:r>
              <w:rPr>
                <w:rFonts w:ascii="Arial" w:cs="Arial" w:eastAsia="Arial" w:hAnsi="Arial"/>
                <w:sz w:val="14"/>
                <w:szCs w:val="14"/>
                <w:color w:val="auto"/>
              </w:rPr>
              <w:t>(3.4)</w:t>
            </w:r>
          </w:p>
        </w:tc>
      </w:tr>
      <w:tr>
        <w:trPr>
          <w:trHeight w:val="21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Foreign currency (loss) gain</w:t>
            </w:r>
          </w:p>
        </w:tc>
        <w:tc>
          <w:tcPr>
            <w:tcW w:w="480" w:type="dxa"/>
            <w:vAlign w:val="bottom"/>
          </w:tcPr>
          <w:p>
            <w:pPr>
              <w:spacing w:after="0"/>
              <w:rPr>
                <w:sz w:val="18"/>
                <w:szCs w:val="18"/>
                <w:color w:val="auto"/>
              </w:rPr>
            </w:pPr>
          </w:p>
        </w:tc>
        <w:tc>
          <w:tcPr>
            <w:tcW w:w="1120" w:type="dxa"/>
            <w:vAlign w:val="bottom"/>
          </w:tcPr>
          <w:p>
            <w:pPr>
              <w:jc w:val="center"/>
              <w:ind w:left="627"/>
              <w:spacing w:after="0"/>
              <w:rPr>
                <w:sz w:val="20"/>
                <w:szCs w:val="20"/>
                <w:color w:val="auto"/>
              </w:rPr>
            </w:pPr>
            <w:r>
              <w:rPr>
                <w:rFonts w:ascii="Arial" w:cs="Arial" w:eastAsia="Arial" w:hAnsi="Arial"/>
                <w:sz w:val="14"/>
                <w:szCs w:val="14"/>
                <w:color w:val="auto"/>
              </w:rPr>
              <w:t>(1.2)</w:t>
            </w:r>
          </w:p>
        </w:tc>
        <w:tc>
          <w:tcPr>
            <w:tcW w:w="940" w:type="dxa"/>
            <w:vAlign w:val="bottom"/>
          </w:tcPr>
          <w:p>
            <w:pPr>
              <w:spacing w:after="0"/>
              <w:rPr>
                <w:sz w:val="18"/>
                <w:szCs w:val="18"/>
                <w:color w:val="auto"/>
              </w:rPr>
            </w:pPr>
          </w:p>
        </w:tc>
        <w:tc>
          <w:tcPr>
            <w:tcW w:w="660" w:type="dxa"/>
            <w:vAlign w:val="bottom"/>
          </w:tcPr>
          <w:p>
            <w:pPr>
              <w:jc w:val="center"/>
              <w:ind w:left="268"/>
              <w:spacing w:after="0"/>
              <w:rPr>
                <w:sz w:val="20"/>
                <w:szCs w:val="20"/>
                <w:color w:val="auto"/>
              </w:rPr>
            </w:pPr>
            <w:r>
              <w:rPr>
                <w:rFonts w:ascii="Arial" w:cs="Arial" w:eastAsia="Arial" w:hAnsi="Arial"/>
                <w:sz w:val="14"/>
                <w:szCs w:val="14"/>
                <w:color w:val="auto"/>
              </w:rPr>
              <w:t>4.0</w:t>
            </w:r>
          </w:p>
        </w:tc>
        <w:tc>
          <w:tcPr>
            <w:tcW w:w="500" w:type="dxa"/>
            <w:vAlign w:val="bottom"/>
          </w:tcPr>
          <w:p>
            <w:pPr>
              <w:spacing w:after="0"/>
              <w:rPr>
                <w:sz w:val="18"/>
                <w:szCs w:val="18"/>
                <w:color w:val="auto"/>
              </w:rPr>
            </w:pPr>
          </w:p>
        </w:tc>
        <w:tc>
          <w:tcPr>
            <w:tcW w:w="1240" w:type="dxa"/>
            <w:vAlign w:val="bottom"/>
          </w:tcPr>
          <w:p>
            <w:pPr>
              <w:jc w:val="center"/>
              <w:ind w:left="788"/>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8"/>
                <w:szCs w:val="18"/>
                <w:color w:val="auto"/>
              </w:rPr>
            </w:pPr>
          </w:p>
        </w:tc>
        <w:tc>
          <w:tcPr>
            <w:tcW w:w="1240" w:type="dxa"/>
            <w:vAlign w:val="bottom"/>
          </w:tcPr>
          <w:p>
            <w:pPr>
              <w:jc w:val="center"/>
              <w:ind w:left="888"/>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8"/>
                <w:szCs w:val="18"/>
                <w:color w:val="auto"/>
              </w:rPr>
            </w:pPr>
          </w:p>
        </w:tc>
      </w:tr>
      <w:tr>
        <w:trPr>
          <w:trHeight w:val="222"/>
        </w:trPr>
        <w:tc>
          <w:tcPr>
            <w:tcW w:w="46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Interest income</w:t>
            </w:r>
          </w:p>
        </w:tc>
        <w:tc>
          <w:tcPr>
            <w:tcW w:w="480" w:type="dxa"/>
            <w:vAlign w:val="bottom"/>
            <w:shd w:val="clear" w:color="auto" w:fill="43C0B9"/>
          </w:tcPr>
          <w:p>
            <w:pPr>
              <w:spacing w:after="0"/>
              <w:rPr>
                <w:sz w:val="19"/>
                <w:szCs w:val="19"/>
                <w:color w:val="auto"/>
              </w:rPr>
            </w:pPr>
          </w:p>
        </w:tc>
        <w:tc>
          <w:tcPr>
            <w:tcW w:w="1120" w:type="dxa"/>
            <w:vAlign w:val="bottom"/>
            <w:shd w:val="clear" w:color="auto" w:fill="43C0B9"/>
          </w:tcPr>
          <w:p>
            <w:pPr>
              <w:jc w:val="center"/>
              <w:ind w:left="647"/>
              <w:spacing w:after="0"/>
              <w:rPr>
                <w:sz w:val="20"/>
                <w:szCs w:val="20"/>
                <w:color w:val="auto"/>
              </w:rPr>
            </w:pPr>
            <w:r>
              <w:rPr>
                <w:rFonts w:ascii="Arial" w:cs="Arial" w:eastAsia="Arial" w:hAnsi="Arial"/>
                <w:sz w:val="14"/>
                <w:szCs w:val="14"/>
                <w:color w:val="auto"/>
              </w:rPr>
              <w:t>0.9</w:t>
            </w:r>
          </w:p>
        </w:tc>
        <w:tc>
          <w:tcPr>
            <w:tcW w:w="940" w:type="dxa"/>
            <w:vAlign w:val="bottom"/>
            <w:shd w:val="clear" w:color="auto" w:fill="43C0B9"/>
          </w:tcPr>
          <w:p>
            <w:pPr>
              <w:spacing w:after="0"/>
              <w:rPr>
                <w:sz w:val="19"/>
                <w:szCs w:val="19"/>
                <w:color w:val="auto"/>
              </w:rPr>
            </w:pPr>
          </w:p>
        </w:tc>
        <w:tc>
          <w:tcPr>
            <w:tcW w:w="660" w:type="dxa"/>
            <w:vAlign w:val="bottom"/>
            <w:shd w:val="clear" w:color="auto" w:fill="43C0B9"/>
          </w:tcPr>
          <w:p>
            <w:pPr>
              <w:jc w:val="center"/>
              <w:ind w:left="268"/>
              <w:spacing w:after="0"/>
              <w:rPr>
                <w:sz w:val="20"/>
                <w:szCs w:val="20"/>
                <w:color w:val="auto"/>
              </w:rPr>
            </w:pPr>
            <w:r>
              <w:rPr>
                <w:rFonts w:ascii="Arial" w:cs="Arial" w:eastAsia="Arial" w:hAnsi="Arial"/>
                <w:sz w:val="14"/>
                <w:szCs w:val="14"/>
                <w:color w:val="auto"/>
              </w:rPr>
              <w:t>0.9</w:t>
            </w:r>
          </w:p>
        </w:tc>
        <w:tc>
          <w:tcPr>
            <w:tcW w:w="500" w:type="dxa"/>
            <w:vAlign w:val="bottom"/>
            <w:shd w:val="clear" w:color="auto" w:fill="43C0B9"/>
          </w:tcPr>
          <w:p>
            <w:pPr>
              <w:spacing w:after="0"/>
              <w:rPr>
                <w:sz w:val="19"/>
                <w:szCs w:val="19"/>
                <w:color w:val="auto"/>
              </w:rPr>
            </w:pPr>
          </w:p>
        </w:tc>
        <w:tc>
          <w:tcPr>
            <w:tcW w:w="1240" w:type="dxa"/>
            <w:vAlign w:val="bottom"/>
            <w:shd w:val="clear" w:color="auto" w:fill="43C0B9"/>
          </w:tcPr>
          <w:p>
            <w:pPr>
              <w:jc w:val="center"/>
              <w:ind w:left="808"/>
              <w:spacing w:after="0"/>
              <w:rPr>
                <w:sz w:val="20"/>
                <w:szCs w:val="20"/>
                <w:color w:val="auto"/>
              </w:rPr>
            </w:pPr>
            <w:r>
              <w:rPr>
                <w:rFonts w:ascii="Arial" w:cs="Arial" w:eastAsia="Arial" w:hAnsi="Arial"/>
                <w:sz w:val="14"/>
                <w:szCs w:val="14"/>
                <w:color w:val="auto"/>
              </w:rPr>
              <w:t>1.1</w:t>
            </w:r>
          </w:p>
        </w:tc>
        <w:tc>
          <w:tcPr>
            <w:tcW w:w="380" w:type="dxa"/>
            <w:vAlign w:val="bottom"/>
            <w:shd w:val="clear" w:color="auto" w:fill="43C0B9"/>
          </w:tcPr>
          <w:p>
            <w:pPr>
              <w:spacing w:after="0"/>
              <w:rPr>
                <w:sz w:val="19"/>
                <w:szCs w:val="19"/>
                <w:color w:val="auto"/>
              </w:rPr>
            </w:pPr>
          </w:p>
        </w:tc>
        <w:tc>
          <w:tcPr>
            <w:tcW w:w="1240" w:type="dxa"/>
            <w:vAlign w:val="bottom"/>
            <w:shd w:val="clear" w:color="auto" w:fill="43C0B9"/>
          </w:tcPr>
          <w:p>
            <w:pPr>
              <w:jc w:val="center"/>
              <w:ind w:left="888"/>
              <w:spacing w:after="0"/>
              <w:rPr>
                <w:sz w:val="20"/>
                <w:szCs w:val="20"/>
                <w:color w:val="auto"/>
              </w:rPr>
            </w:pPr>
            <w:r>
              <w:rPr>
                <w:rFonts w:ascii="Arial" w:cs="Arial" w:eastAsia="Arial" w:hAnsi="Arial"/>
                <w:sz w:val="14"/>
                <w:szCs w:val="14"/>
                <w:color w:val="auto"/>
              </w:rPr>
              <w:t>1.3</w:t>
            </w:r>
          </w:p>
        </w:tc>
        <w:tc>
          <w:tcPr>
            <w:tcW w:w="20" w:type="dxa"/>
            <w:vAlign w:val="bottom"/>
            <w:shd w:val="clear" w:color="auto" w:fill="43C0B9"/>
          </w:tcPr>
          <w:p>
            <w:pPr>
              <w:spacing w:after="0"/>
              <w:rPr>
                <w:sz w:val="19"/>
                <w:szCs w:val="19"/>
                <w:color w:val="auto"/>
              </w:rPr>
            </w:pPr>
          </w:p>
        </w:tc>
      </w:tr>
      <w:tr>
        <w:trPr>
          <w:trHeight w:val="210"/>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4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627"/>
              <w:spacing w:after="0"/>
              <w:rPr>
                <w:sz w:val="20"/>
                <w:szCs w:val="20"/>
                <w:color w:val="auto"/>
              </w:rPr>
            </w:pPr>
            <w:r>
              <w:rPr>
                <w:rFonts w:ascii="Arial" w:cs="Arial" w:eastAsia="Arial" w:hAnsi="Arial"/>
                <w:sz w:val="14"/>
                <w:szCs w:val="14"/>
                <w:color w:val="auto"/>
              </w:rPr>
              <w:t>(0.3)</w:t>
            </w: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rPr>
              <w:t>(0.4)</w:t>
            </w: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color w:val="auto"/>
              </w:rPr>
              <w:t>0.1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left="848"/>
              <w:spacing w:after="0"/>
              <w:rPr>
                <w:sz w:val="20"/>
                <w:szCs w:val="20"/>
                <w:color w:val="auto"/>
              </w:rPr>
            </w:pPr>
            <w:r>
              <w:rPr>
                <w:rFonts w:ascii="Arial" w:cs="Arial" w:eastAsia="Arial" w:hAnsi="Arial"/>
                <w:sz w:val="14"/>
                <w:szCs w:val="14"/>
                <w:color w:val="auto"/>
              </w:rPr>
              <w:t>(0.1)</w:t>
            </w:r>
          </w:p>
        </w:tc>
      </w:tr>
      <w:tr>
        <w:trPr>
          <w:trHeight w:val="209"/>
        </w:trPr>
        <w:tc>
          <w:tcPr>
            <w:tcW w:w="466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4"/>
                <w:szCs w:val="14"/>
                <w:color w:val="auto"/>
              </w:rPr>
              <w:t>Other (expense) income</w:t>
            </w:r>
          </w:p>
        </w:tc>
        <w:tc>
          <w:tcPr>
            <w:tcW w:w="480" w:type="dxa"/>
            <w:vAlign w:val="bottom"/>
            <w:tcBorders>
              <w:bottom w:val="single" w:sz="8" w:color="auto"/>
            </w:tcBorders>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43C0B9"/>
          </w:tcPr>
          <w:p>
            <w:pPr>
              <w:jc w:val="center"/>
              <w:ind w:left="627"/>
              <w:spacing w:after="0"/>
              <w:rPr>
                <w:sz w:val="20"/>
                <w:szCs w:val="20"/>
                <w:color w:val="auto"/>
              </w:rPr>
            </w:pPr>
            <w:r>
              <w:rPr>
                <w:rFonts w:ascii="Arial" w:cs="Arial" w:eastAsia="Arial" w:hAnsi="Arial"/>
                <w:sz w:val="14"/>
                <w:szCs w:val="14"/>
                <w:color w:val="auto"/>
              </w:rPr>
              <w:t>(0.3)</w:t>
            </w:r>
          </w:p>
        </w:tc>
        <w:tc>
          <w:tcPr>
            <w:tcW w:w="94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43C0B9"/>
          </w:tcPr>
          <w:p>
            <w:pPr>
              <w:jc w:val="center"/>
              <w:ind w:left="268"/>
              <w:spacing w:after="0"/>
              <w:rPr>
                <w:sz w:val="20"/>
                <w:szCs w:val="20"/>
                <w:color w:val="auto"/>
              </w:rPr>
            </w:pPr>
            <w:r>
              <w:rPr>
                <w:rFonts w:ascii="Arial" w:cs="Arial" w:eastAsia="Arial" w:hAnsi="Arial"/>
                <w:sz w:val="14"/>
                <w:szCs w:val="14"/>
                <w:color w:val="auto"/>
              </w:rPr>
              <w:t>1.4</w:t>
            </w:r>
          </w:p>
        </w:tc>
        <w:tc>
          <w:tcPr>
            <w:tcW w:w="500" w:type="dxa"/>
            <w:vAlign w:val="bottom"/>
            <w:tcBorders>
              <w:bottom w:val="single" w:sz="8" w:color="auto"/>
            </w:tcBorders>
            <w:shd w:val="clear" w:color="auto" w:fill="43C0B9"/>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43C0B9"/>
          </w:tcPr>
          <w:p>
            <w:pPr>
              <w:jc w:val="center"/>
              <w:ind w:left="788"/>
              <w:spacing w:after="0"/>
              <w:rPr>
                <w:sz w:val="20"/>
                <w:szCs w:val="20"/>
                <w:color w:val="auto"/>
              </w:rPr>
            </w:pPr>
            <w:r>
              <w:rPr>
                <w:rFonts w:ascii="Arial" w:cs="Arial" w:eastAsia="Arial" w:hAnsi="Arial"/>
                <w:sz w:val="14"/>
                <w:szCs w:val="14"/>
                <w:color w:val="auto"/>
              </w:rPr>
              <w:t>(0.3)</w:t>
            </w:r>
          </w:p>
        </w:tc>
        <w:tc>
          <w:tcPr>
            <w:tcW w:w="380" w:type="dxa"/>
            <w:vAlign w:val="bottom"/>
            <w:tcBorders>
              <w:bottom w:val="single" w:sz="8" w:color="auto"/>
            </w:tcBorders>
            <w:shd w:val="clear" w:color="auto" w:fill="43C0B9"/>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43C0B9"/>
          </w:tcPr>
          <w:p>
            <w:pPr>
              <w:jc w:val="center"/>
              <w:ind w:left="888"/>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shd w:val="clear" w:color="auto" w:fill="43C0B9"/>
          </w:tcPr>
          <w:p>
            <w:pPr>
              <w:spacing w:after="0"/>
              <w:rPr>
                <w:sz w:val="18"/>
                <w:szCs w:val="18"/>
                <w:color w:val="auto"/>
              </w:rPr>
            </w:pPr>
          </w:p>
        </w:tc>
      </w:tr>
      <w:tr>
        <w:trPr>
          <w:trHeight w:val="763"/>
        </w:trPr>
        <w:tc>
          <w:tcPr>
            <w:tcW w:w="4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ind w:right="147"/>
              <w:spacing w:after="0"/>
              <w:rPr>
                <w:sz w:val="20"/>
                <w:szCs w:val="20"/>
                <w:color w:val="auto"/>
              </w:rPr>
            </w:pPr>
            <w:r>
              <w:rPr>
                <w:rFonts w:ascii="Arial" w:cs="Arial" w:eastAsia="Arial" w:hAnsi="Arial"/>
                <w:sz w:val="16"/>
                <w:szCs w:val="16"/>
                <w:color w:val="auto"/>
              </w:rPr>
              <w:t>11</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0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374" w:lineRule="exact"/>
        <w:rPr>
          <w:sz w:val="20"/>
          <w:szCs w:val="20"/>
          <w:color w:val="auto"/>
        </w:rPr>
      </w:pPr>
    </w:p>
    <w:p>
      <w:pPr>
        <w:ind w:left="440" w:hanging="432"/>
        <w:spacing w:after="0"/>
        <w:tabs>
          <w:tab w:leader="none" w:pos="440" w:val="left"/>
        </w:tabs>
        <w:numPr>
          <w:ilvl w:val="0"/>
          <w:numId w:val="5"/>
        </w:numPr>
        <w:rPr>
          <w:rFonts w:ascii="Arial" w:cs="Arial" w:eastAsia="Arial" w:hAnsi="Arial"/>
          <w:sz w:val="20"/>
          <w:szCs w:val="20"/>
          <w:b w:val="1"/>
          <w:bCs w:val="1"/>
          <w:color w:val="232F84"/>
        </w:rPr>
      </w:pPr>
      <w:r>
        <w:rPr>
          <w:rFonts w:ascii="Arial" w:cs="Arial" w:eastAsia="Arial" w:hAnsi="Arial"/>
          <w:sz w:val="20"/>
          <w:szCs w:val="20"/>
          <w:b w:val="1"/>
          <w:bCs w:val="1"/>
          <w:color w:val="232F84"/>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Credit facility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Long-term debt under our credit facility with Bank of America (“BoA”) Merrill Lynch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00" w:type="dxa"/>
            <w:vAlign w:val="bottom"/>
            <w:shd w:val="clear" w:color="auto" w:fill="232F84"/>
          </w:tcPr>
          <w:p>
            <w:pPr>
              <w:spacing w:after="0"/>
              <w:rPr>
                <w:sz w:val="18"/>
                <w:szCs w:val="18"/>
                <w:color w:val="auto"/>
              </w:rPr>
            </w:pPr>
          </w:p>
        </w:tc>
        <w:tc>
          <w:tcPr>
            <w:tcW w:w="12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April 30, 2021</w:t>
            </w:r>
          </w:p>
        </w:tc>
        <w:tc>
          <w:tcPr>
            <w:tcW w:w="300" w:type="dxa"/>
            <w:vAlign w:val="bottom"/>
            <w:shd w:val="clear" w:color="auto" w:fill="232F84"/>
          </w:tcPr>
          <w:p>
            <w:pPr>
              <w:spacing w:after="0"/>
              <w:rPr>
                <w:sz w:val="18"/>
                <w:szCs w:val="18"/>
                <w:color w:val="auto"/>
              </w:rPr>
            </w:pPr>
          </w:p>
        </w:tc>
        <w:tc>
          <w:tcPr>
            <w:tcW w:w="13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r>
      <w:tr>
        <w:trPr>
          <w:trHeight w:val="194"/>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Revolving line of credit. The interest rate is variable, based on LIBOR plus a spread that varies with the Company’s</w:t>
            </w:r>
          </w:p>
        </w:tc>
        <w:tc>
          <w:tcPr>
            <w:tcW w:w="400" w:type="dxa"/>
            <w:vAlign w:val="bottom"/>
            <w:shd w:val="clear" w:color="auto" w:fill="43C0B9"/>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leverage ratio. As of April 30, 2021 and October 31, 2020, the interest rate was 1.86% and 1.90%, respectively. Interest is</w:t>
            </w:r>
          </w:p>
        </w:tc>
        <w:tc>
          <w:tcPr>
            <w:tcW w:w="400" w:type="dxa"/>
            <w:vAlign w:val="bottom"/>
            <w:shd w:val="clear" w:color="auto" w:fill="43C0B9"/>
          </w:tcPr>
          <w:p>
            <w:pPr>
              <w:spacing w:after="0"/>
              <w:rPr>
                <w:sz w:val="14"/>
                <w:szCs w:val="14"/>
                <w:color w:val="auto"/>
              </w:rPr>
            </w:pPr>
          </w:p>
        </w:tc>
        <w:tc>
          <w:tcPr>
            <w:tcW w:w="1260" w:type="dxa"/>
            <w:vAlign w:val="bottom"/>
            <w:shd w:val="clear" w:color="auto" w:fill="43C0B9"/>
          </w:tcPr>
          <w:p>
            <w:pPr>
              <w:spacing w:after="0"/>
              <w:rPr>
                <w:sz w:val="14"/>
                <w:szCs w:val="14"/>
                <w:color w:val="auto"/>
              </w:rPr>
            </w:pPr>
          </w:p>
        </w:tc>
        <w:tc>
          <w:tcPr>
            <w:tcW w:w="300" w:type="dxa"/>
            <w:vAlign w:val="bottom"/>
            <w:shd w:val="clear" w:color="auto" w:fill="43C0B9"/>
          </w:tcPr>
          <w:p>
            <w:pPr>
              <w:spacing w:after="0"/>
              <w:rPr>
                <w:sz w:val="14"/>
                <w:szCs w:val="14"/>
                <w:color w:val="auto"/>
              </w:rPr>
            </w:pPr>
          </w:p>
        </w:tc>
        <w:tc>
          <w:tcPr>
            <w:tcW w:w="1320" w:type="dxa"/>
            <w:vAlign w:val="bottom"/>
            <w:shd w:val="clear" w:color="auto" w:fill="43C0B9"/>
          </w:tcPr>
          <w:p>
            <w:pPr>
              <w:spacing w:after="0"/>
              <w:rPr>
                <w:sz w:val="14"/>
                <w:szCs w:val="14"/>
                <w:color w:val="auto"/>
              </w:rPr>
            </w:pPr>
          </w:p>
        </w:tc>
      </w:tr>
      <w:tr>
        <w:trPr>
          <w:trHeight w:val="184"/>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payable monthly and principal is due in full in October 2023.</w:t>
            </w:r>
          </w:p>
        </w:tc>
        <w:tc>
          <w:tcPr>
            <w:tcW w:w="400" w:type="dxa"/>
            <w:vAlign w:val="bottom"/>
            <w:shd w:val="clear" w:color="auto" w:fill="43C0B9"/>
          </w:tcPr>
          <w:p>
            <w:pPr>
              <w:spacing w:after="0"/>
              <w:rPr>
                <w:sz w:val="16"/>
                <w:szCs w:val="16"/>
                <w:color w:val="auto"/>
              </w:rPr>
            </w:pPr>
          </w:p>
        </w:tc>
        <w:tc>
          <w:tcPr>
            <w:tcW w:w="1260" w:type="dxa"/>
            <w:vAlign w:val="bottom"/>
            <w:shd w:val="clear" w:color="auto" w:fill="43C0B9"/>
          </w:tcPr>
          <w:p>
            <w:pPr>
              <w:spacing w:after="0"/>
              <w:rPr>
                <w:sz w:val="16"/>
                <w:szCs w:val="16"/>
                <w:color w:val="auto"/>
              </w:rPr>
            </w:pPr>
          </w:p>
        </w:tc>
        <w:tc>
          <w:tcPr>
            <w:tcW w:w="300" w:type="dxa"/>
            <w:vAlign w:val="bottom"/>
            <w:shd w:val="clear" w:color="auto" w:fill="43C0B9"/>
          </w:tcPr>
          <w:p>
            <w:pPr>
              <w:spacing w:after="0"/>
              <w:rPr>
                <w:sz w:val="16"/>
                <w:szCs w:val="16"/>
                <w:color w:val="auto"/>
              </w:rPr>
            </w:pPr>
          </w:p>
        </w:tc>
        <w:tc>
          <w:tcPr>
            <w:tcW w:w="1320" w:type="dxa"/>
            <w:vAlign w:val="bottom"/>
            <w:shd w:val="clear" w:color="auto" w:fill="43C0B9"/>
          </w:tcPr>
          <w:p>
            <w:pPr>
              <w:spacing w:after="0"/>
              <w:rPr>
                <w:sz w:val="16"/>
                <w:szCs w:val="16"/>
                <w:color w:val="auto"/>
              </w:rPr>
            </w:pPr>
          </w:p>
        </w:tc>
      </w:tr>
      <w:tr>
        <w:trPr>
          <w:trHeight w:val="194"/>
        </w:trPr>
        <w:tc>
          <w:tcPr>
            <w:tcW w:w="7960" w:type="dxa"/>
            <w:vAlign w:val="bottom"/>
          </w:tcPr>
          <w:p>
            <w:pPr>
              <w:ind w:left="20"/>
              <w:spacing w:after="0"/>
              <w:rPr>
                <w:sz w:val="20"/>
                <w:szCs w:val="20"/>
                <w:color w:val="auto"/>
              </w:rPr>
            </w:pPr>
            <w:r>
              <w:rPr>
                <w:rFonts w:ascii="Arial" w:cs="Arial" w:eastAsia="Arial" w:hAnsi="Arial"/>
                <w:sz w:val="14"/>
                <w:szCs w:val="14"/>
                <w:color w:val="auto"/>
              </w:rPr>
              <w:t>Senior term loan (A-1). The interest rate is variable, based on LIBOR plus a spread that varies with the Company’s leverage</w:t>
            </w:r>
          </w:p>
        </w:tc>
        <w:tc>
          <w:tcPr>
            <w:tcW w:w="4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92.5</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95.0</w:t>
            </w:r>
          </w:p>
        </w:tc>
      </w:tr>
      <w:tr>
        <w:trPr>
          <w:trHeight w:val="162"/>
        </w:trPr>
        <w:tc>
          <w:tcPr>
            <w:tcW w:w="7960" w:type="dxa"/>
            <w:vAlign w:val="bottom"/>
          </w:tcPr>
          <w:p>
            <w:pPr>
              <w:ind w:left="20"/>
              <w:spacing w:after="0"/>
              <w:rPr>
                <w:sz w:val="20"/>
                <w:szCs w:val="20"/>
                <w:color w:val="auto"/>
              </w:rPr>
            </w:pPr>
            <w:r>
              <w:rPr>
                <w:rFonts w:ascii="Arial" w:cs="Arial" w:eastAsia="Arial" w:hAnsi="Arial"/>
                <w:sz w:val="14"/>
                <w:szCs w:val="14"/>
                <w:color w:val="auto"/>
              </w:rPr>
              <w:t>ratio. As of April 30, 2021 and October 31, 2020, the interest rate was 1.86% and 1.90%, respectively. Interest is payable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8"/>
        </w:trPr>
        <w:tc>
          <w:tcPr>
            <w:tcW w:w="7960" w:type="dxa"/>
            <w:vAlign w:val="bottom"/>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2023.</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0"/>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Senior term loan (A-2). The interest rate is variable, based on LIBOR plus a spread that varies with the Company’s leverage</w:t>
            </w:r>
          </w:p>
        </w:tc>
        <w:tc>
          <w:tcPr>
            <w:tcW w:w="400" w:type="dxa"/>
            <w:vAlign w:val="bottom"/>
            <w:shd w:val="clear" w:color="auto" w:fill="43C0B9"/>
          </w:tcPr>
          <w:p>
            <w:pPr>
              <w:spacing w:after="0"/>
              <w:rPr>
                <w:sz w:val="17"/>
                <w:szCs w:val="17"/>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73.1</w:t>
            </w:r>
          </w:p>
        </w:tc>
        <w:tc>
          <w:tcPr>
            <w:tcW w:w="300" w:type="dxa"/>
            <w:vAlign w:val="bottom"/>
            <w:shd w:val="clear" w:color="auto" w:fill="43C0B9"/>
          </w:tcPr>
          <w:p>
            <w:pPr>
              <w:spacing w:after="0"/>
              <w:rPr>
                <w:sz w:val="17"/>
                <w:szCs w:val="17"/>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73.5</w:t>
            </w:r>
          </w:p>
        </w:tc>
      </w:tr>
      <w:tr>
        <w:trPr>
          <w:trHeight w:val="162"/>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ratio. As of April 30, 2021 and October 31, 2020, the interest rate was 2.36% and 2.40% respectively. Interest is payable</w:t>
            </w:r>
          </w:p>
        </w:tc>
        <w:tc>
          <w:tcPr>
            <w:tcW w:w="400" w:type="dxa"/>
            <w:vAlign w:val="bottom"/>
            <w:shd w:val="clear" w:color="auto" w:fill="43C0B9"/>
          </w:tcPr>
          <w:p>
            <w:pPr>
              <w:spacing w:after="0"/>
              <w:rPr>
                <w:sz w:val="14"/>
                <w:szCs w:val="14"/>
                <w:color w:val="auto"/>
              </w:rPr>
            </w:pPr>
          </w:p>
        </w:tc>
        <w:tc>
          <w:tcPr>
            <w:tcW w:w="1260" w:type="dxa"/>
            <w:vAlign w:val="bottom"/>
            <w:shd w:val="clear" w:color="auto" w:fill="43C0B9"/>
          </w:tcPr>
          <w:p>
            <w:pPr>
              <w:spacing w:after="0"/>
              <w:rPr>
                <w:sz w:val="14"/>
                <w:szCs w:val="14"/>
                <w:color w:val="auto"/>
              </w:rPr>
            </w:pPr>
          </w:p>
        </w:tc>
        <w:tc>
          <w:tcPr>
            <w:tcW w:w="300" w:type="dxa"/>
            <w:vAlign w:val="bottom"/>
            <w:shd w:val="clear" w:color="auto" w:fill="43C0B9"/>
          </w:tcPr>
          <w:p>
            <w:pPr>
              <w:spacing w:after="0"/>
              <w:rPr>
                <w:sz w:val="14"/>
                <w:szCs w:val="14"/>
                <w:color w:val="auto"/>
              </w:rPr>
            </w:pPr>
          </w:p>
        </w:tc>
        <w:tc>
          <w:tcPr>
            <w:tcW w:w="1320" w:type="dxa"/>
            <w:vAlign w:val="bottom"/>
            <w:shd w:val="clear" w:color="auto" w:fill="43C0B9"/>
          </w:tcPr>
          <w:p>
            <w:pPr>
              <w:spacing w:after="0"/>
              <w:rPr>
                <w:sz w:val="14"/>
                <w:szCs w:val="14"/>
                <w:color w:val="auto"/>
              </w:rPr>
            </w:pPr>
          </w:p>
        </w:tc>
      </w:tr>
      <w:tr>
        <w:trPr>
          <w:trHeight w:val="184"/>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2025.</w:t>
            </w:r>
          </w:p>
        </w:tc>
        <w:tc>
          <w:tcPr>
            <w:tcW w:w="400" w:type="dxa"/>
            <w:vAlign w:val="bottom"/>
            <w:shd w:val="clear" w:color="auto" w:fill="43C0B9"/>
          </w:tcPr>
          <w:p>
            <w:pPr>
              <w:spacing w:after="0"/>
              <w:rPr>
                <w:sz w:val="16"/>
                <w:szCs w:val="16"/>
                <w:color w:val="auto"/>
              </w:rPr>
            </w:pPr>
          </w:p>
        </w:tc>
        <w:tc>
          <w:tcPr>
            <w:tcW w:w="1260" w:type="dxa"/>
            <w:vAlign w:val="bottom"/>
            <w:shd w:val="clear" w:color="auto" w:fill="43C0B9"/>
          </w:tcPr>
          <w:p>
            <w:pPr>
              <w:spacing w:after="0"/>
              <w:rPr>
                <w:sz w:val="16"/>
                <w:szCs w:val="16"/>
                <w:color w:val="auto"/>
              </w:rPr>
            </w:pPr>
          </w:p>
        </w:tc>
        <w:tc>
          <w:tcPr>
            <w:tcW w:w="300" w:type="dxa"/>
            <w:vAlign w:val="bottom"/>
            <w:shd w:val="clear" w:color="auto" w:fill="43C0B9"/>
          </w:tcPr>
          <w:p>
            <w:pPr>
              <w:spacing w:after="0"/>
              <w:rPr>
                <w:sz w:val="16"/>
                <w:szCs w:val="16"/>
                <w:color w:val="auto"/>
              </w:rPr>
            </w:pPr>
          </w:p>
        </w:tc>
        <w:tc>
          <w:tcPr>
            <w:tcW w:w="1320" w:type="dxa"/>
            <w:vAlign w:val="bottom"/>
            <w:shd w:val="clear" w:color="auto" w:fill="43C0B9"/>
          </w:tcPr>
          <w:p>
            <w:pPr>
              <w:spacing w:after="0"/>
              <w:rPr>
                <w:sz w:val="16"/>
                <w:szCs w:val="16"/>
                <w:color w:val="auto"/>
              </w:rPr>
            </w:pPr>
          </w:p>
        </w:tc>
      </w:tr>
      <w:tr>
        <w:trPr>
          <w:trHeight w:val="194"/>
        </w:trPr>
        <w:tc>
          <w:tcPr>
            <w:tcW w:w="7960" w:type="dxa"/>
            <w:vAlign w:val="bottom"/>
          </w:tcPr>
          <w:p>
            <w:pPr>
              <w:ind w:left="20"/>
              <w:spacing w:after="0"/>
              <w:rPr>
                <w:sz w:val="20"/>
                <w:szCs w:val="20"/>
                <w:color w:val="auto"/>
              </w:rPr>
            </w:pPr>
            <w:r>
              <w:rPr>
                <w:rFonts w:ascii="Arial" w:cs="Arial" w:eastAsia="Arial" w:hAnsi="Arial"/>
                <w:sz w:val="14"/>
                <w:szCs w:val="14"/>
                <w:color w:val="auto"/>
              </w:rPr>
              <w:t>Notes payable to BoA. Payable in monthly installments including interest at a weighted average rate of 4.56% and 4.52%</w:t>
            </w:r>
          </w:p>
        </w:tc>
        <w:tc>
          <w:tcPr>
            <w:tcW w:w="4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78"/>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of April 30, 2021 and October 31, 2020, respectively. Principal is due September 2025.</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16"/>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long-term debt</w:t>
            </w:r>
          </w:p>
        </w:tc>
        <w:tc>
          <w:tcPr>
            <w:tcW w:w="400" w:type="dxa"/>
            <w:vAlign w:val="bottom"/>
            <w:shd w:val="clear" w:color="auto" w:fill="43C0B9"/>
          </w:tcPr>
          <w:p>
            <w:pPr>
              <w:spacing w:after="0"/>
              <w:rPr>
                <w:sz w:val="18"/>
                <w:szCs w:val="18"/>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170.7</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174.7</w:t>
            </w:r>
          </w:p>
        </w:tc>
      </w:tr>
      <w:tr>
        <w:trPr>
          <w:trHeight w:val="21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debt issuance costs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216"/>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400" w:type="dxa"/>
            <w:vAlign w:val="bottom"/>
            <w:shd w:val="clear" w:color="auto" w:fill="43C0B9"/>
          </w:tcPr>
          <w:p>
            <w:pPr>
              <w:spacing w:after="0"/>
              <w:rPr>
                <w:sz w:val="18"/>
                <w:szCs w:val="18"/>
                <w:color w:val="auto"/>
              </w:rPr>
            </w:pP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170.2</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174.1</w:t>
            </w:r>
          </w:p>
        </w:tc>
      </w:tr>
      <w:tr>
        <w:trPr>
          <w:trHeight w:val="21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current portion of long-term debt</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209"/>
        </w:trPr>
        <w:tc>
          <w:tcPr>
            <w:tcW w:w="79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Long-term debt, net of current portion</w:t>
            </w:r>
          </w:p>
        </w:tc>
        <w:tc>
          <w:tcPr>
            <w:tcW w:w="400" w:type="dxa"/>
            <w:vAlign w:val="bottom"/>
            <w:tcBorders>
              <w:bottom w:val="single" w:sz="8" w:color="auto"/>
            </w:tcBorders>
            <w:shd w:val="clear" w:color="auto" w:fill="43C0B9"/>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162.0</w:t>
            </w:r>
          </w:p>
        </w:tc>
        <w:tc>
          <w:tcPr>
            <w:tcW w:w="30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166.7</w:t>
            </w:r>
          </w:p>
        </w:tc>
      </w:tr>
    </w:tbl>
    <w:p>
      <w:pPr>
        <w:spacing w:after="0" w:line="218" w:lineRule="exact"/>
        <w:rPr>
          <w:sz w:val="20"/>
          <w:szCs w:val="20"/>
          <w:color w:val="auto"/>
        </w:rPr>
      </w:pPr>
    </w:p>
    <w:p>
      <w:pPr>
        <w:ind w:right="100" w:firstLine="648"/>
        <w:spacing w:after="0" w:line="253" w:lineRule="auto"/>
        <w:rPr>
          <w:sz w:val="20"/>
          <w:szCs w:val="20"/>
          <w:color w:val="auto"/>
        </w:rPr>
      </w:pPr>
      <w:r>
        <w:rPr>
          <w:rFonts w:ascii="Arial" w:cs="Arial" w:eastAsia="Arial" w:hAnsi="Arial"/>
          <w:sz w:val="16"/>
          <w:szCs w:val="16"/>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April 30, 2021, the Company was in compliance with all covenants of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Interest rate swaps</w:t>
      </w:r>
    </w:p>
    <w:p>
      <w:pPr>
        <w:spacing w:after="0" w:line="241" w:lineRule="exact"/>
        <w:rPr>
          <w:sz w:val="20"/>
          <w:szCs w:val="20"/>
          <w:color w:val="auto"/>
        </w:rPr>
      </w:pPr>
    </w:p>
    <w:p>
      <w:pPr>
        <w:ind w:right="100" w:firstLine="648"/>
        <w:spacing w:after="0" w:line="250" w:lineRule="auto"/>
        <w:rPr>
          <w:sz w:val="20"/>
          <w:szCs w:val="20"/>
          <w:color w:val="auto"/>
        </w:rPr>
      </w:pPr>
      <w:r>
        <w:rPr>
          <w:rFonts w:ascii="Arial" w:cs="Arial" w:eastAsia="Arial" w:hAnsi="Arial"/>
          <w:sz w:val="16"/>
          <w:szCs w:val="16"/>
          <w:color w:val="auto"/>
        </w:rPr>
        <w:t>The Company has four separate interest rate swaps with a total notional amount of $100 million to hedge changes in the variable interest rate on $100 million of principal value of the Company’s term loans. The Company has not designated the interest rate swaps as cash flow hedges, and as a result, changes in the fair value of the interest rate swaps have been recorded in other (expense) income, net in the condensed consolidated statements of comprehensive income (loss) and changes in the liability are presented in net cash used in operating activities in the condensed consolidated statements of cash flow. Refer to Note 7 for more details.</w:t>
      </w:r>
    </w:p>
    <w:p>
      <w:pPr>
        <w:spacing w:after="0" w:line="200" w:lineRule="exact"/>
        <w:rPr>
          <w:sz w:val="20"/>
          <w:szCs w:val="20"/>
          <w:color w:val="auto"/>
        </w:rPr>
      </w:pPr>
    </w:p>
    <w:p>
      <w:pPr>
        <w:spacing w:after="0" w:line="216" w:lineRule="exact"/>
        <w:rPr>
          <w:sz w:val="20"/>
          <w:szCs w:val="20"/>
          <w:color w:val="auto"/>
        </w:rPr>
      </w:pPr>
    </w:p>
    <w:p>
      <w:pPr>
        <w:ind w:left="500" w:hanging="492"/>
        <w:spacing w:after="0"/>
        <w:tabs>
          <w:tab w:leader="none" w:pos="500" w:val="left"/>
        </w:tabs>
        <w:numPr>
          <w:ilvl w:val="0"/>
          <w:numId w:val="6"/>
        </w:numPr>
        <w:rPr>
          <w:rFonts w:ascii="Arial" w:cs="Arial" w:eastAsia="Arial" w:hAnsi="Arial"/>
          <w:sz w:val="20"/>
          <w:szCs w:val="20"/>
          <w:b w:val="1"/>
          <w:bCs w:val="1"/>
          <w:color w:val="232F84"/>
        </w:rPr>
      </w:pPr>
      <w:r>
        <w:rPr>
          <w:rFonts w:ascii="Arial" w:cs="Arial" w:eastAsia="Arial" w:hAnsi="Arial"/>
          <w:sz w:val="20"/>
          <w:szCs w:val="20"/>
          <w:b w:val="1"/>
          <w:bCs w:val="1"/>
          <w:color w:val="232F84"/>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Litigation</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involved from time to time in claims, proceedings, and litigation, including the following:</w:t>
      </w:r>
    </w:p>
    <w:p>
      <w:pPr>
        <w:spacing w:after="0" w:line="221"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condensed consolidated statements of comprehensive income (loss) during the three months ended April 30, 2021. This preliminary settlement is subject to approval by the applicable courts.</w:t>
      </w:r>
    </w:p>
    <w:p>
      <w:pPr>
        <w:spacing w:after="0" w:line="395"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77"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374" w:lineRule="exact"/>
        <w:rPr>
          <w:sz w:val="20"/>
          <w:szCs w:val="20"/>
          <w:color w:val="auto"/>
        </w:rPr>
      </w:pPr>
    </w:p>
    <w:p>
      <w:pPr>
        <w:ind w:left="440" w:hanging="432"/>
        <w:spacing w:after="0"/>
        <w:tabs>
          <w:tab w:leader="none" w:pos="440" w:val="left"/>
        </w:tabs>
        <w:numPr>
          <w:ilvl w:val="0"/>
          <w:numId w:val="7"/>
        </w:numPr>
        <w:rPr>
          <w:rFonts w:ascii="Arial" w:cs="Arial" w:eastAsia="Arial" w:hAnsi="Arial"/>
          <w:sz w:val="20"/>
          <w:szCs w:val="20"/>
          <w:b w:val="1"/>
          <w:bCs w:val="1"/>
          <w:color w:val="232F84"/>
        </w:rPr>
      </w:pPr>
      <w:r>
        <w:rPr>
          <w:rFonts w:ascii="Arial" w:cs="Arial" w:eastAsia="Arial" w:hAnsi="Arial"/>
          <w:sz w:val="20"/>
          <w:szCs w:val="20"/>
          <w:b w:val="1"/>
          <w:bCs w:val="1"/>
          <w:color w:val="232F84"/>
        </w:rPr>
        <w:t>Income Taxes</w:t>
      </w:r>
    </w:p>
    <w:p>
      <w:pPr>
        <w:spacing w:after="0" w:line="245" w:lineRule="exact"/>
        <w:rPr>
          <w:sz w:val="20"/>
          <w:szCs w:val="20"/>
          <w:color w:val="auto"/>
        </w:rPr>
      </w:pPr>
    </w:p>
    <w:p>
      <w:pPr>
        <w:ind w:right="140" w:firstLine="648"/>
        <w:spacing w:after="0" w:line="251" w:lineRule="auto"/>
        <w:rPr>
          <w:sz w:val="20"/>
          <w:szCs w:val="20"/>
          <w:color w:val="auto"/>
        </w:rPr>
      </w:pPr>
      <w:r>
        <w:rPr>
          <w:rFonts w:ascii="Arial" w:cs="Arial" w:eastAsia="Arial" w:hAnsi="Arial"/>
          <w:sz w:val="16"/>
          <w:szCs w:val="16"/>
          <w:color w:val="auto"/>
        </w:rPr>
        <w:t>The income tax expense recorded for the three and six months ended April 30, 2021 and 2020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changes in uncertain tax positions (“UTP”), and changes in tax law affecting the rate in future years.</w:t>
      </w:r>
    </w:p>
    <w:p>
      <w:pPr>
        <w:spacing w:after="0" w:line="202" w:lineRule="exact"/>
        <w:rPr>
          <w:sz w:val="20"/>
          <w:szCs w:val="20"/>
          <w:color w:val="auto"/>
        </w:rPr>
      </w:pPr>
    </w:p>
    <w:p>
      <w:pPr>
        <w:ind w:right="120" w:firstLine="648"/>
        <w:spacing w:after="0" w:line="250" w:lineRule="auto"/>
        <w:rPr>
          <w:sz w:val="20"/>
          <w:szCs w:val="20"/>
          <w:color w:val="auto"/>
        </w:rPr>
      </w:pPr>
      <w:r>
        <w:rPr>
          <w:rFonts w:ascii="Arial" w:cs="Arial" w:eastAsia="Arial" w:hAnsi="Arial"/>
          <w:sz w:val="16"/>
          <w:szCs w:val="16"/>
          <w:color w:val="auto"/>
        </w:rPr>
        <w:t>As of April 30, 2021, the Company had $15.4 million in UTP accrued, of which $7.7 million relates to interest and penalties, inclusive of inflationary adjustments. The period for assessing interest and penalties has expired. However, the Company continues to record certain statutory adjustments related to inflation. During the three and six months ended April 30, 2021, the Company recognized $0.3 million and $0.5 million, respectively, as income tax expense related to inflationary and other adjustments. Changes in the UTP related to changes in foreign exchange rates during the period are included in other (expense) income, net in the condensed consolidated statements of comprehensive income (loss).</w:t>
      </w:r>
    </w:p>
    <w:p>
      <w:pPr>
        <w:spacing w:after="0" w:line="203" w:lineRule="exact"/>
        <w:rPr>
          <w:sz w:val="20"/>
          <w:szCs w:val="20"/>
          <w:color w:val="auto"/>
        </w:rPr>
      </w:pPr>
    </w:p>
    <w:p>
      <w:pPr>
        <w:ind w:right="40" w:firstLine="648"/>
        <w:spacing w:after="0" w:line="250" w:lineRule="auto"/>
        <w:rPr>
          <w:sz w:val="20"/>
          <w:szCs w:val="20"/>
          <w:color w:val="auto"/>
        </w:rPr>
      </w:pPr>
      <w:r>
        <w:rPr>
          <w:rFonts w:ascii="Arial" w:cs="Arial" w:eastAsia="Arial" w:hAnsi="Arial"/>
          <w:sz w:val="16"/>
          <w:szCs w:val="16"/>
          <w:color w:val="auto"/>
        </w:rPr>
        <w:t>Additionally, the Company recorded a discrete tax expense of $5.1 million during the six months ended April 30, 2021, related to the remeasurement of our deferred tax liabilities in Peru due to the enactment of tax rate changes for future years. On December 30, 2020, Peru enacted certain tax law changes effective January 1, 2021 that repealed existing tax laws which provided benefits to agribusiness entities. The new law will subject the Company to higher Peruvian tax rates than the current rate of 15% as follows: 20% for calendar years 2023 to 2024, 25% for calendar years 2025 to 2027, and 29.5% thereafter.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 w:hanging="432"/>
        <w:spacing w:after="0"/>
        <w:tabs>
          <w:tab w:leader="none" w:pos="440" w:val="left"/>
        </w:tabs>
        <w:numPr>
          <w:ilvl w:val="0"/>
          <w:numId w:val="8"/>
        </w:numPr>
        <w:rPr>
          <w:rFonts w:ascii="Arial" w:cs="Arial" w:eastAsia="Arial" w:hAnsi="Arial"/>
          <w:sz w:val="20"/>
          <w:szCs w:val="20"/>
          <w:b w:val="1"/>
          <w:bCs w:val="1"/>
          <w:color w:val="232F84"/>
        </w:rPr>
      </w:pPr>
      <w:r>
        <w:rPr>
          <w:rFonts w:ascii="Arial" w:cs="Arial" w:eastAsia="Arial" w:hAnsi="Arial"/>
          <w:sz w:val="20"/>
          <w:szCs w:val="20"/>
          <w:b w:val="1"/>
          <w:bCs w:val="1"/>
          <w:color w:val="232F84"/>
        </w:rPr>
        <w:t>Fair Value Measurements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liabilities measured and recorded at fair value on a recurring basis included in the condensed consolidated balance sheets were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520" w:type="dxa"/>
            <w:vAlign w:val="bottom"/>
            <w:shd w:val="clear" w:color="auto" w:fill="232F84"/>
          </w:tcPr>
          <w:p>
            <w:pPr>
              <w:spacing w:after="0"/>
              <w:rPr>
                <w:sz w:val="19"/>
                <w:szCs w:val="19"/>
                <w:color w:val="auto"/>
              </w:rPr>
            </w:pPr>
          </w:p>
        </w:tc>
        <w:tc>
          <w:tcPr>
            <w:tcW w:w="400" w:type="dxa"/>
            <w:vAlign w:val="bottom"/>
            <w:shd w:val="clear" w:color="auto" w:fill="232F84"/>
          </w:tcPr>
          <w:p>
            <w:pPr>
              <w:spacing w:after="0"/>
              <w:rPr>
                <w:sz w:val="19"/>
                <w:szCs w:val="19"/>
                <w:color w:val="auto"/>
              </w:rPr>
            </w:pPr>
          </w:p>
        </w:tc>
        <w:tc>
          <w:tcPr>
            <w:tcW w:w="700" w:type="dxa"/>
            <w:vAlign w:val="bottom"/>
            <w:shd w:val="clear" w:color="auto" w:fill="232F84"/>
          </w:tcPr>
          <w:p>
            <w:pPr>
              <w:spacing w:after="0"/>
              <w:rPr>
                <w:sz w:val="19"/>
                <w:szCs w:val="19"/>
                <w:color w:val="auto"/>
              </w:rPr>
            </w:pPr>
          </w:p>
        </w:tc>
        <w:tc>
          <w:tcPr>
            <w:tcW w:w="140" w:type="dxa"/>
            <w:vAlign w:val="bottom"/>
            <w:shd w:val="clear" w:color="auto" w:fill="232F84"/>
          </w:tcPr>
          <w:p>
            <w:pPr>
              <w:spacing w:after="0"/>
              <w:rPr>
                <w:sz w:val="19"/>
                <w:szCs w:val="19"/>
                <w:color w:val="auto"/>
              </w:rPr>
            </w:pPr>
          </w:p>
        </w:tc>
        <w:tc>
          <w:tcPr>
            <w:tcW w:w="2260" w:type="dxa"/>
            <w:vAlign w:val="bottom"/>
            <w:gridSpan w:val="2"/>
            <w:shd w:val="clear" w:color="auto" w:fill="232F84"/>
          </w:tcPr>
          <w:p>
            <w:pPr>
              <w:jc w:val="right"/>
              <w:ind w:right="568"/>
              <w:spacing w:after="0"/>
              <w:rPr>
                <w:sz w:val="20"/>
                <w:szCs w:val="20"/>
                <w:color w:val="auto"/>
              </w:rPr>
            </w:pPr>
            <w:r>
              <w:rPr>
                <w:rFonts w:ascii="Arial" w:cs="Arial" w:eastAsia="Arial" w:hAnsi="Arial"/>
                <w:sz w:val="14"/>
                <w:szCs w:val="14"/>
                <w:b w:val="1"/>
                <w:bCs w:val="1"/>
                <w:color w:val="FFFFFF"/>
              </w:rPr>
              <w:t>April 30, 2021</w:t>
            </w:r>
          </w:p>
        </w:tc>
        <w:tc>
          <w:tcPr>
            <w:tcW w:w="240" w:type="dxa"/>
            <w:vAlign w:val="bottom"/>
            <w:shd w:val="clear" w:color="auto" w:fill="232F84"/>
          </w:tcPr>
          <w:p>
            <w:pPr>
              <w:spacing w:after="0"/>
              <w:rPr>
                <w:sz w:val="19"/>
                <w:szCs w:val="19"/>
                <w:color w:val="auto"/>
              </w:rPr>
            </w:pPr>
          </w:p>
        </w:tc>
        <w:tc>
          <w:tcPr>
            <w:tcW w:w="1560" w:type="dxa"/>
            <w:vAlign w:val="bottom"/>
            <w:shd w:val="clear" w:color="auto" w:fill="232F84"/>
          </w:tcPr>
          <w:p>
            <w:pPr>
              <w:spacing w:after="0"/>
              <w:rPr>
                <w:sz w:val="19"/>
                <w:szCs w:val="19"/>
                <w:color w:val="auto"/>
              </w:rPr>
            </w:pPr>
          </w:p>
        </w:tc>
        <w:tc>
          <w:tcPr>
            <w:tcW w:w="700" w:type="dxa"/>
            <w:vAlign w:val="bottom"/>
            <w:shd w:val="clear" w:color="auto" w:fill="232F84"/>
          </w:tcPr>
          <w:p>
            <w:pPr>
              <w:spacing w:after="0"/>
              <w:rPr>
                <w:sz w:val="19"/>
                <w:szCs w:val="19"/>
                <w:color w:val="auto"/>
              </w:rPr>
            </w:pPr>
          </w:p>
        </w:tc>
        <w:tc>
          <w:tcPr>
            <w:tcW w:w="140" w:type="dxa"/>
            <w:vAlign w:val="bottom"/>
            <w:shd w:val="clear" w:color="auto" w:fill="232F84"/>
          </w:tcPr>
          <w:p>
            <w:pPr>
              <w:spacing w:after="0"/>
              <w:rPr>
                <w:sz w:val="19"/>
                <w:szCs w:val="19"/>
                <w:color w:val="auto"/>
              </w:rPr>
            </w:pPr>
          </w:p>
        </w:tc>
        <w:tc>
          <w:tcPr>
            <w:tcW w:w="2280" w:type="dxa"/>
            <w:vAlign w:val="bottom"/>
            <w:gridSpan w:val="2"/>
            <w:shd w:val="clear" w:color="auto" w:fill="232F84"/>
          </w:tcPr>
          <w:p>
            <w:pPr>
              <w:jc w:val="right"/>
              <w:ind w:right="468"/>
              <w:spacing w:after="0"/>
              <w:rPr>
                <w:sz w:val="20"/>
                <w:szCs w:val="20"/>
                <w:color w:val="auto"/>
              </w:rPr>
            </w:pPr>
            <w:r>
              <w:rPr>
                <w:rFonts w:ascii="Arial" w:cs="Arial" w:eastAsia="Arial" w:hAnsi="Arial"/>
                <w:sz w:val="14"/>
                <w:szCs w:val="14"/>
                <w:b w:val="1"/>
                <w:bCs w:val="1"/>
                <w:color w:val="FFFFFF"/>
              </w:rPr>
              <w:t>October 31, 2020</w:t>
            </w:r>
          </w:p>
        </w:tc>
        <w:tc>
          <w:tcPr>
            <w:tcW w:w="220" w:type="dxa"/>
            <w:vAlign w:val="bottom"/>
            <w:shd w:val="clear" w:color="auto" w:fill="232F84"/>
          </w:tcPr>
          <w:p>
            <w:pPr>
              <w:spacing w:after="0"/>
              <w:rPr>
                <w:sz w:val="19"/>
                <w:szCs w:val="19"/>
                <w:color w:val="auto"/>
              </w:rPr>
            </w:pPr>
          </w:p>
        </w:tc>
        <w:tc>
          <w:tcPr>
            <w:tcW w:w="1080" w:type="dxa"/>
            <w:vAlign w:val="bottom"/>
            <w:shd w:val="clear" w:color="auto" w:fill="232F84"/>
          </w:tcPr>
          <w:p>
            <w:pPr>
              <w:spacing w:after="0"/>
              <w:rPr>
                <w:sz w:val="19"/>
                <w:szCs w:val="19"/>
                <w:color w:val="auto"/>
              </w:rPr>
            </w:pPr>
          </w:p>
        </w:tc>
      </w:tr>
      <w:tr>
        <w:trPr>
          <w:trHeight w:val="184"/>
        </w:trPr>
        <w:tc>
          <w:tcPr>
            <w:tcW w:w="1520" w:type="dxa"/>
            <w:vAlign w:val="bottom"/>
            <w:shd w:val="clear" w:color="auto" w:fill="232F84"/>
          </w:tcPr>
          <w:p>
            <w:pPr>
              <w:spacing w:after="0"/>
              <w:rPr>
                <w:sz w:val="15"/>
                <w:szCs w:val="15"/>
                <w:color w:val="auto"/>
              </w:rPr>
            </w:pPr>
          </w:p>
        </w:tc>
        <w:tc>
          <w:tcPr>
            <w:tcW w:w="40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140" w:type="dxa"/>
            <w:vAlign w:val="bottom"/>
            <w:shd w:val="clear" w:color="auto" w:fill="232F84"/>
          </w:tcPr>
          <w:p>
            <w:pPr>
              <w:spacing w:after="0"/>
              <w:rPr>
                <w:sz w:val="15"/>
                <w:szCs w:val="15"/>
                <w:color w:val="auto"/>
              </w:rPr>
            </w:pPr>
          </w:p>
        </w:tc>
        <w:tc>
          <w:tcPr>
            <w:tcW w:w="1300" w:type="dxa"/>
            <w:vAlign w:val="bottom"/>
            <w:shd w:val="clear" w:color="auto" w:fill="232F84"/>
          </w:tcPr>
          <w:p>
            <w:pPr>
              <w:spacing w:after="0"/>
              <w:rPr>
                <w:sz w:val="15"/>
                <w:szCs w:val="15"/>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Significant</w:t>
            </w:r>
          </w:p>
        </w:tc>
        <w:tc>
          <w:tcPr>
            <w:tcW w:w="240" w:type="dxa"/>
            <w:vAlign w:val="bottom"/>
            <w:shd w:val="clear" w:color="auto" w:fill="232F84"/>
          </w:tcPr>
          <w:p>
            <w:pPr>
              <w:spacing w:after="0"/>
              <w:rPr>
                <w:sz w:val="15"/>
                <w:szCs w:val="15"/>
                <w:color w:val="auto"/>
              </w:rPr>
            </w:pPr>
          </w:p>
        </w:tc>
        <w:tc>
          <w:tcPr>
            <w:tcW w:w="156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140" w:type="dxa"/>
            <w:vAlign w:val="bottom"/>
            <w:shd w:val="clear" w:color="auto" w:fill="232F84"/>
          </w:tcPr>
          <w:p>
            <w:pPr>
              <w:spacing w:after="0"/>
              <w:rPr>
                <w:sz w:val="15"/>
                <w:szCs w:val="15"/>
                <w:color w:val="auto"/>
              </w:rPr>
            </w:pPr>
          </w:p>
        </w:tc>
        <w:tc>
          <w:tcPr>
            <w:tcW w:w="1300" w:type="dxa"/>
            <w:vAlign w:val="bottom"/>
            <w:shd w:val="clear" w:color="auto" w:fill="232F84"/>
          </w:tcPr>
          <w:p>
            <w:pPr>
              <w:spacing w:after="0"/>
              <w:rPr>
                <w:sz w:val="15"/>
                <w:szCs w:val="15"/>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Significant</w:t>
            </w:r>
          </w:p>
        </w:tc>
        <w:tc>
          <w:tcPr>
            <w:tcW w:w="220" w:type="dxa"/>
            <w:vAlign w:val="bottom"/>
            <w:shd w:val="clear" w:color="auto" w:fill="232F84"/>
          </w:tcPr>
          <w:p>
            <w:pPr>
              <w:spacing w:after="0"/>
              <w:rPr>
                <w:sz w:val="15"/>
                <w:szCs w:val="15"/>
                <w:color w:val="auto"/>
              </w:rPr>
            </w:pPr>
          </w:p>
        </w:tc>
        <w:tc>
          <w:tcPr>
            <w:tcW w:w="1080" w:type="dxa"/>
            <w:vAlign w:val="bottom"/>
            <w:shd w:val="clear" w:color="auto" w:fill="232F84"/>
          </w:tcPr>
          <w:p>
            <w:pPr>
              <w:spacing w:after="0"/>
              <w:rPr>
                <w:sz w:val="15"/>
                <w:szCs w:val="15"/>
                <w:color w:val="auto"/>
              </w:rPr>
            </w:pPr>
          </w:p>
        </w:tc>
      </w:tr>
      <w:tr>
        <w:trPr>
          <w:trHeight w:val="162"/>
        </w:trPr>
        <w:tc>
          <w:tcPr>
            <w:tcW w:w="1520" w:type="dxa"/>
            <w:vAlign w:val="bottom"/>
            <w:shd w:val="clear" w:color="auto" w:fill="232F84"/>
          </w:tcPr>
          <w:p>
            <w:pPr>
              <w:spacing w:after="0"/>
              <w:rPr>
                <w:sz w:val="14"/>
                <w:szCs w:val="14"/>
                <w:color w:val="auto"/>
              </w:rPr>
            </w:pPr>
          </w:p>
        </w:tc>
        <w:tc>
          <w:tcPr>
            <w:tcW w:w="400" w:type="dxa"/>
            <w:vAlign w:val="bottom"/>
            <w:shd w:val="clear" w:color="auto" w:fill="232F84"/>
          </w:tcPr>
          <w:p>
            <w:pPr>
              <w:spacing w:after="0"/>
              <w:rPr>
                <w:sz w:val="14"/>
                <w:szCs w:val="14"/>
                <w:color w:val="auto"/>
              </w:rPr>
            </w:pP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Quoted Prices</w:t>
            </w: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Other</w:t>
            </w:r>
          </w:p>
        </w:tc>
        <w:tc>
          <w:tcPr>
            <w:tcW w:w="240" w:type="dxa"/>
            <w:vAlign w:val="bottom"/>
            <w:shd w:val="clear" w:color="auto" w:fill="232F84"/>
          </w:tcPr>
          <w:p>
            <w:pPr>
              <w:spacing w:after="0"/>
              <w:rPr>
                <w:sz w:val="14"/>
                <w:szCs w:val="14"/>
                <w:color w:val="auto"/>
              </w:rPr>
            </w:pPr>
          </w:p>
        </w:tc>
        <w:tc>
          <w:tcPr>
            <w:tcW w:w="1560" w:type="dxa"/>
            <w:vAlign w:val="bottom"/>
            <w:shd w:val="clear" w:color="auto" w:fill="232F84"/>
          </w:tcPr>
          <w:p>
            <w:pPr>
              <w:jc w:val="right"/>
              <w:ind w:right="448"/>
              <w:spacing w:after="0"/>
              <w:rPr>
                <w:sz w:val="20"/>
                <w:szCs w:val="20"/>
                <w:color w:val="auto"/>
              </w:rPr>
            </w:pPr>
            <w:r>
              <w:rPr>
                <w:rFonts w:ascii="Arial" w:cs="Arial" w:eastAsia="Arial" w:hAnsi="Arial"/>
                <w:sz w:val="14"/>
                <w:szCs w:val="14"/>
                <w:b w:val="1"/>
                <w:bCs w:val="1"/>
                <w:color w:val="FFFFFF"/>
              </w:rPr>
              <w:t>Significant</w:t>
            </w: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Quoted Prices</w:t>
            </w: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Other</w:t>
            </w:r>
          </w:p>
        </w:tc>
        <w:tc>
          <w:tcPr>
            <w:tcW w:w="220" w:type="dxa"/>
            <w:vAlign w:val="bottom"/>
            <w:shd w:val="clear" w:color="auto" w:fill="232F84"/>
          </w:tcPr>
          <w:p>
            <w:pPr>
              <w:spacing w:after="0"/>
              <w:rPr>
                <w:sz w:val="14"/>
                <w:szCs w:val="14"/>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Significant</w:t>
            </w:r>
          </w:p>
        </w:tc>
      </w:tr>
      <w:tr>
        <w:trPr>
          <w:trHeight w:val="162"/>
        </w:trPr>
        <w:tc>
          <w:tcPr>
            <w:tcW w:w="1520" w:type="dxa"/>
            <w:vAlign w:val="bottom"/>
            <w:shd w:val="clear" w:color="auto" w:fill="232F84"/>
          </w:tcPr>
          <w:p>
            <w:pPr>
              <w:spacing w:after="0"/>
              <w:rPr>
                <w:sz w:val="14"/>
                <w:szCs w:val="14"/>
                <w:color w:val="auto"/>
              </w:rPr>
            </w:pPr>
          </w:p>
        </w:tc>
        <w:tc>
          <w:tcPr>
            <w:tcW w:w="400" w:type="dxa"/>
            <w:vAlign w:val="bottom"/>
            <w:shd w:val="clear" w:color="auto" w:fill="232F84"/>
          </w:tcPr>
          <w:p>
            <w:pPr>
              <w:spacing w:after="0"/>
              <w:rPr>
                <w:sz w:val="14"/>
                <w:szCs w:val="14"/>
                <w:color w:val="auto"/>
              </w:rPr>
            </w:pP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in Active</w:t>
            </w: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Observable</w:t>
            </w:r>
          </w:p>
        </w:tc>
        <w:tc>
          <w:tcPr>
            <w:tcW w:w="240" w:type="dxa"/>
            <w:vAlign w:val="bottom"/>
            <w:shd w:val="clear" w:color="auto" w:fill="232F84"/>
          </w:tcPr>
          <w:p>
            <w:pPr>
              <w:spacing w:after="0"/>
              <w:rPr>
                <w:sz w:val="14"/>
                <w:szCs w:val="14"/>
                <w:color w:val="auto"/>
              </w:rPr>
            </w:pPr>
          </w:p>
        </w:tc>
        <w:tc>
          <w:tcPr>
            <w:tcW w:w="1560" w:type="dxa"/>
            <w:vAlign w:val="bottom"/>
            <w:shd w:val="clear" w:color="auto" w:fill="232F84"/>
          </w:tcPr>
          <w:p>
            <w:pPr>
              <w:jc w:val="right"/>
              <w:ind w:right="448"/>
              <w:spacing w:after="0"/>
              <w:rPr>
                <w:sz w:val="20"/>
                <w:szCs w:val="20"/>
                <w:color w:val="auto"/>
              </w:rPr>
            </w:pPr>
            <w:r>
              <w:rPr>
                <w:rFonts w:ascii="Arial" w:cs="Arial" w:eastAsia="Arial" w:hAnsi="Arial"/>
                <w:sz w:val="14"/>
                <w:szCs w:val="14"/>
                <w:b w:val="1"/>
                <w:bCs w:val="1"/>
                <w:color w:val="FFFFFF"/>
              </w:rPr>
              <w:t>Unobservable</w:t>
            </w: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in Active</w:t>
            </w: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Observable</w:t>
            </w:r>
          </w:p>
        </w:tc>
        <w:tc>
          <w:tcPr>
            <w:tcW w:w="220" w:type="dxa"/>
            <w:vAlign w:val="bottom"/>
            <w:shd w:val="clear" w:color="auto" w:fill="232F84"/>
          </w:tcPr>
          <w:p>
            <w:pPr>
              <w:spacing w:after="0"/>
              <w:rPr>
                <w:sz w:val="14"/>
                <w:szCs w:val="14"/>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Unobservable</w:t>
            </w:r>
          </w:p>
        </w:tc>
      </w:tr>
      <w:tr>
        <w:trPr>
          <w:trHeight w:val="162"/>
        </w:trPr>
        <w:tc>
          <w:tcPr>
            <w:tcW w:w="1520" w:type="dxa"/>
            <w:vAlign w:val="bottom"/>
            <w:shd w:val="clear" w:color="auto" w:fill="232F84"/>
          </w:tcPr>
          <w:p>
            <w:pPr>
              <w:spacing w:after="0"/>
              <w:rPr>
                <w:sz w:val="14"/>
                <w:szCs w:val="14"/>
                <w:color w:val="auto"/>
              </w:rPr>
            </w:pPr>
          </w:p>
        </w:tc>
        <w:tc>
          <w:tcPr>
            <w:tcW w:w="400" w:type="dxa"/>
            <w:vAlign w:val="bottom"/>
            <w:shd w:val="clear" w:color="auto" w:fill="232F84"/>
          </w:tcPr>
          <w:p>
            <w:pPr>
              <w:spacing w:after="0"/>
              <w:rPr>
                <w:sz w:val="14"/>
                <w:szCs w:val="14"/>
                <w:color w:val="auto"/>
              </w:rPr>
            </w:pP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Markets</w:t>
            </w: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Inputs</w:t>
            </w:r>
          </w:p>
        </w:tc>
        <w:tc>
          <w:tcPr>
            <w:tcW w:w="240" w:type="dxa"/>
            <w:vAlign w:val="bottom"/>
            <w:shd w:val="clear" w:color="auto" w:fill="232F84"/>
          </w:tcPr>
          <w:p>
            <w:pPr>
              <w:spacing w:after="0"/>
              <w:rPr>
                <w:sz w:val="14"/>
                <w:szCs w:val="14"/>
                <w:color w:val="auto"/>
              </w:rPr>
            </w:pPr>
          </w:p>
        </w:tc>
        <w:tc>
          <w:tcPr>
            <w:tcW w:w="1560" w:type="dxa"/>
            <w:vAlign w:val="bottom"/>
            <w:shd w:val="clear" w:color="auto" w:fill="232F84"/>
          </w:tcPr>
          <w:p>
            <w:pPr>
              <w:jc w:val="right"/>
              <w:ind w:right="448"/>
              <w:spacing w:after="0"/>
              <w:rPr>
                <w:sz w:val="20"/>
                <w:szCs w:val="20"/>
                <w:color w:val="auto"/>
              </w:rPr>
            </w:pPr>
            <w:r>
              <w:rPr>
                <w:rFonts w:ascii="Arial" w:cs="Arial" w:eastAsia="Arial" w:hAnsi="Arial"/>
                <w:sz w:val="14"/>
                <w:szCs w:val="14"/>
                <w:b w:val="1"/>
                <w:bCs w:val="1"/>
                <w:color w:val="FFFFFF"/>
              </w:rPr>
              <w:t>Inputs</w:t>
            </w: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88"/>
              <w:spacing w:after="0"/>
              <w:rPr>
                <w:sz w:val="20"/>
                <w:szCs w:val="20"/>
                <w:color w:val="auto"/>
              </w:rPr>
            </w:pPr>
            <w:r>
              <w:rPr>
                <w:rFonts w:ascii="Arial" w:cs="Arial" w:eastAsia="Arial" w:hAnsi="Arial"/>
                <w:sz w:val="14"/>
                <w:szCs w:val="14"/>
                <w:b w:val="1"/>
                <w:bCs w:val="1"/>
                <w:color w:val="FFFFFF"/>
              </w:rPr>
              <w:t>Markets</w:t>
            </w: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Inputs</w:t>
            </w:r>
          </w:p>
        </w:tc>
        <w:tc>
          <w:tcPr>
            <w:tcW w:w="220" w:type="dxa"/>
            <w:vAlign w:val="bottom"/>
            <w:shd w:val="clear" w:color="auto" w:fill="232F84"/>
          </w:tcPr>
          <w:p>
            <w:pPr>
              <w:spacing w:after="0"/>
              <w:rPr>
                <w:sz w:val="14"/>
                <w:szCs w:val="14"/>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Inputs</w:t>
            </w:r>
          </w:p>
        </w:tc>
      </w:tr>
      <w:tr>
        <w:trPr>
          <w:trHeight w:val="202"/>
        </w:trPr>
        <w:tc>
          <w:tcPr>
            <w:tcW w:w="152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00" w:type="dxa"/>
            <w:vAlign w:val="bottom"/>
            <w:shd w:val="clear" w:color="auto" w:fill="232F84"/>
          </w:tcPr>
          <w:p>
            <w:pPr>
              <w:spacing w:after="0"/>
              <w:rPr>
                <w:sz w:val="17"/>
                <w:szCs w:val="17"/>
                <w:color w:val="auto"/>
              </w:rPr>
            </w:pPr>
          </w:p>
        </w:tc>
        <w:tc>
          <w:tcPr>
            <w:tcW w:w="700" w:type="dxa"/>
            <w:vAlign w:val="bottom"/>
            <w:shd w:val="clear" w:color="auto" w:fill="232F84"/>
          </w:tcPr>
          <w:p>
            <w:pPr>
              <w:jc w:val="center"/>
              <w:ind w:left="188"/>
              <w:spacing w:after="0"/>
              <w:rPr>
                <w:sz w:val="20"/>
                <w:szCs w:val="20"/>
                <w:color w:val="auto"/>
              </w:rPr>
            </w:pPr>
            <w:r>
              <w:rPr>
                <w:rFonts w:ascii="Arial" w:cs="Arial" w:eastAsia="Arial" w:hAnsi="Arial"/>
                <w:sz w:val="14"/>
                <w:szCs w:val="14"/>
                <w:b w:val="1"/>
                <w:bCs w:val="1"/>
                <w:color w:val="FFFFFF"/>
                <w:w w:val="95"/>
              </w:rPr>
              <w:t>Total</w:t>
            </w:r>
          </w:p>
        </w:tc>
        <w:tc>
          <w:tcPr>
            <w:tcW w:w="140" w:type="dxa"/>
            <w:vAlign w:val="bottom"/>
            <w:shd w:val="clear" w:color="auto" w:fill="232F84"/>
          </w:tcPr>
          <w:p>
            <w:pPr>
              <w:spacing w:after="0"/>
              <w:rPr>
                <w:sz w:val="17"/>
                <w:szCs w:val="17"/>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(Level 1)</w:t>
            </w: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(Level 2)</w:t>
            </w:r>
          </w:p>
        </w:tc>
        <w:tc>
          <w:tcPr>
            <w:tcW w:w="240" w:type="dxa"/>
            <w:vAlign w:val="bottom"/>
            <w:shd w:val="clear" w:color="auto" w:fill="232F84"/>
          </w:tcPr>
          <w:p>
            <w:pPr>
              <w:spacing w:after="0"/>
              <w:rPr>
                <w:sz w:val="17"/>
                <w:szCs w:val="17"/>
                <w:color w:val="auto"/>
              </w:rPr>
            </w:pPr>
          </w:p>
        </w:tc>
        <w:tc>
          <w:tcPr>
            <w:tcW w:w="1560" w:type="dxa"/>
            <w:vAlign w:val="bottom"/>
            <w:shd w:val="clear" w:color="auto" w:fill="232F84"/>
          </w:tcPr>
          <w:p>
            <w:pPr>
              <w:jc w:val="right"/>
              <w:ind w:right="448"/>
              <w:spacing w:after="0"/>
              <w:rPr>
                <w:sz w:val="20"/>
                <w:szCs w:val="20"/>
                <w:color w:val="auto"/>
              </w:rPr>
            </w:pPr>
            <w:r>
              <w:rPr>
                <w:rFonts w:ascii="Arial" w:cs="Arial" w:eastAsia="Arial" w:hAnsi="Arial"/>
                <w:sz w:val="14"/>
                <w:szCs w:val="14"/>
                <w:b w:val="1"/>
                <w:bCs w:val="1"/>
                <w:color w:val="FFFFFF"/>
              </w:rPr>
              <w:t>(Level 3)</w:t>
            </w:r>
          </w:p>
        </w:tc>
        <w:tc>
          <w:tcPr>
            <w:tcW w:w="700" w:type="dxa"/>
            <w:vAlign w:val="bottom"/>
            <w:shd w:val="clear" w:color="auto" w:fill="232F84"/>
          </w:tcPr>
          <w:p>
            <w:pPr>
              <w:jc w:val="center"/>
              <w:ind w:left="188"/>
              <w:spacing w:after="0"/>
              <w:rPr>
                <w:sz w:val="20"/>
                <w:szCs w:val="20"/>
                <w:color w:val="auto"/>
              </w:rPr>
            </w:pPr>
            <w:r>
              <w:rPr>
                <w:rFonts w:ascii="Arial" w:cs="Arial" w:eastAsia="Arial" w:hAnsi="Arial"/>
                <w:sz w:val="14"/>
                <w:szCs w:val="14"/>
                <w:b w:val="1"/>
                <w:bCs w:val="1"/>
                <w:color w:val="FFFFFF"/>
                <w:w w:val="95"/>
              </w:rPr>
              <w:t>Total</w:t>
            </w:r>
          </w:p>
        </w:tc>
        <w:tc>
          <w:tcPr>
            <w:tcW w:w="140" w:type="dxa"/>
            <w:vAlign w:val="bottom"/>
            <w:shd w:val="clear" w:color="auto" w:fill="232F84"/>
          </w:tcPr>
          <w:p>
            <w:pPr>
              <w:spacing w:after="0"/>
              <w:rPr>
                <w:sz w:val="17"/>
                <w:szCs w:val="17"/>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(Level 1)</w:t>
            </w: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(Level 2)</w:t>
            </w:r>
          </w:p>
        </w:tc>
        <w:tc>
          <w:tcPr>
            <w:tcW w:w="220" w:type="dxa"/>
            <w:vAlign w:val="bottom"/>
            <w:shd w:val="clear" w:color="auto" w:fill="232F84"/>
          </w:tcPr>
          <w:p>
            <w:pPr>
              <w:spacing w:after="0"/>
              <w:rPr>
                <w:sz w:val="17"/>
                <w:szCs w:val="17"/>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(Level 3)</w:t>
            </w:r>
          </w:p>
        </w:tc>
      </w:tr>
      <w:tr>
        <w:trPr>
          <w:trHeight w:val="194"/>
        </w:trPr>
        <w:tc>
          <w:tcPr>
            <w:tcW w:w="152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Interest rate swap</w:t>
            </w:r>
          </w:p>
        </w:tc>
        <w:tc>
          <w:tcPr>
            <w:tcW w:w="400" w:type="dxa"/>
            <w:vAlign w:val="bottom"/>
            <w:shd w:val="clear" w:color="auto" w:fill="43C0B9"/>
          </w:tcPr>
          <w:p>
            <w:pPr>
              <w:spacing w:after="0"/>
              <w:rPr>
                <w:sz w:val="16"/>
                <w:szCs w:val="16"/>
                <w:color w:val="auto"/>
              </w:rPr>
            </w:pPr>
          </w:p>
        </w:tc>
        <w:tc>
          <w:tcPr>
            <w:tcW w:w="700" w:type="dxa"/>
            <w:vAlign w:val="bottom"/>
            <w:shd w:val="clear" w:color="auto" w:fill="43C0B9"/>
          </w:tcPr>
          <w:p>
            <w:pPr>
              <w:spacing w:after="0"/>
              <w:rPr>
                <w:sz w:val="16"/>
                <w:szCs w:val="16"/>
                <w:color w:val="auto"/>
              </w:rPr>
            </w:pPr>
          </w:p>
        </w:tc>
        <w:tc>
          <w:tcPr>
            <w:tcW w:w="140" w:type="dxa"/>
            <w:vAlign w:val="bottom"/>
            <w:shd w:val="clear" w:color="auto" w:fill="43C0B9"/>
          </w:tcPr>
          <w:p>
            <w:pPr>
              <w:spacing w:after="0"/>
              <w:rPr>
                <w:sz w:val="16"/>
                <w:szCs w:val="16"/>
                <w:color w:val="auto"/>
              </w:rPr>
            </w:pPr>
          </w:p>
        </w:tc>
        <w:tc>
          <w:tcPr>
            <w:tcW w:w="1300" w:type="dxa"/>
            <w:vAlign w:val="bottom"/>
            <w:shd w:val="clear" w:color="auto" w:fill="43C0B9"/>
          </w:tcPr>
          <w:p>
            <w:pPr>
              <w:spacing w:after="0"/>
              <w:rPr>
                <w:sz w:val="16"/>
                <w:szCs w:val="16"/>
                <w:color w:val="auto"/>
              </w:rPr>
            </w:pPr>
          </w:p>
        </w:tc>
        <w:tc>
          <w:tcPr>
            <w:tcW w:w="960" w:type="dxa"/>
            <w:vAlign w:val="bottom"/>
            <w:shd w:val="clear" w:color="auto" w:fill="43C0B9"/>
          </w:tcPr>
          <w:p>
            <w:pPr>
              <w:spacing w:after="0"/>
              <w:rPr>
                <w:sz w:val="16"/>
                <w:szCs w:val="16"/>
                <w:color w:val="auto"/>
              </w:rPr>
            </w:pPr>
          </w:p>
        </w:tc>
        <w:tc>
          <w:tcPr>
            <w:tcW w:w="240" w:type="dxa"/>
            <w:vAlign w:val="bottom"/>
            <w:shd w:val="clear" w:color="auto" w:fill="43C0B9"/>
          </w:tcPr>
          <w:p>
            <w:pPr>
              <w:spacing w:after="0"/>
              <w:rPr>
                <w:sz w:val="16"/>
                <w:szCs w:val="16"/>
                <w:color w:val="auto"/>
              </w:rPr>
            </w:pPr>
          </w:p>
        </w:tc>
        <w:tc>
          <w:tcPr>
            <w:tcW w:w="1560" w:type="dxa"/>
            <w:vAlign w:val="bottom"/>
            <w:shd w:val="clear" w:color="auto" w:fill="43C0B9"/>
          </w:tcPr>
          <w:p>
            <w:pPr>
              <w:spacing w:after="0"/>
              <w:rPr>
                <w:sz w:val="16"/>
                <w:szCs w:val="16"/>
                <w:color w:val="auto"/>
              </w:rPr>
            </w:pPr>
          </w:p>
        </w:tc>
        <w:tc>
          <w:tcPr>
            <w:tcW w:w="700" w:type="dxa"/>
            <w:vAlign w:val="bottom"/>
            <w:shd w:val="clear" w:color="auto" w:fill="43C0B9"/>
          </w:tcPr>
          <w:p>
            <w:pPr>
              <w:spacing w:after="0"/>
              <w:rPr>
                <w:sz w:val="16"/>
                <w:szCs w:val="16"/>
                <w:color w:val="auto"/>
              </w:rPr>
            </w:pPr>
          </w:p>
        </w:tc>
        <w:tc>
          <w:tcPr>
            <w:tcW w:w="140" w:type="dxa"/>
            <w:vAlign w:val="bottom"/>
            <w:shd w:val="clear" w:color="auto" w:fill="43C0B9"/>
          </w:tcPr>
          <w:p>
            <w:pPr>
              <w:spacing w:after="0"/>
              <w:rPr>
                <w:sz w:val="16"/>
                <w:szCs w:val="16"/>
                <w:color w:val="auto"/>
              </w:rPr>
            </w:pPr>
          </w:p>
        </w:tc>
        <w:tc>
          <w:tcPr>
            <w:tcW w:w="1300" w:type="dxa"/>
            <w:vAlign w:val="bottom"/>
            <w:shd w:val="clear" w:color="auto" w:fill="43C0B9"/>
          </w:tcPr>
          <w:p>
            <w:pPr>
              <w:spacing w:after="0"/>
              <w:rPr>
                <w:sz w:val="16"/>
                <w:szCs w:val="16"/>
                <w:color w:val="auto"/>
              </w:rPr>
            </w:pPr>
          </w:p>
        </w:tc>
        <w:tc>
          <w:tcPr>
            <w:tcW w:w="980" w:type="dxa"/>
            <w:vAlign w:val="bottom"/>
            <w:shd w:val="clear" w:color="auto" w:fill="43C0B9"/>
          </w:tcPr>
          <w:p>
            <w:pPr>
              <w:spacing w:after="0"/>
              <w:rPr>
                <w:sz w:val="16"/>
                <w:szCs w:val="16"/>
                <w:color w:val="auto"/>
              </w:rPr>
            </w:pPr>
          </w:p>
        </w:tc>
        <w:tc>
          <w:tcPr>
            <w:tcW w:w="220" w:type="dxa"/>
            <w:vAlign w:val="bottom"/>
            <w:shd w:val="clear" w:color="auto" w:fill="43C0B9"/>
          </w:tcPr>
          <w:p>
            <w:pPr>
              <w:spacing w:after="0"/>
              <w:rPr>
                <w:sz w:val="16"/>
                <w:szCs w:val="16"/>
                <w:color w:val="auto"/>
              </w:rPr>
            </w:pPr>
          </w:p>
        </w:tc>
        <w:tc>
          <w:tcPr>
            <w:tcW w:w="1080" w:type="dxa"/>
            <w:vAlign w:val="bottom"/>
            <w:shd w:val="clear" w:color="auto" w:fill="43C0B9"/>
          </w:tcPr>
          <w:p>
            <w:pPr>
              <w:spacing w:after="0"/>
              <w:rPr>
                <w:sz w:val="16"/>
                <w:szCs w:val="16"/>
                <w:color w:val="auto"/>
              </w:rPr>
            </w:pPr>
          </w:p>
        </w:tc>
      </w:tr>
      <w:tr>
        <w:trPr>
          <w:trHeight w:val="178"/>
        </w:trPr>
        <w:tc>
          <w:tcPr>
            <w:tcW w:w="15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liability</w:t>
            </w:r>
          </w:p>
        </w:tc>
        <w:tc>
          <w:tcPr>
            <w:tcW w:w="400" w:type="dxa"/>
            <w:vAlign w:val="bottom"/>
            <w:tcBorders>
              <w:bottom w:val="single" w:sz="8" w:color="auto"/>
            </w:tcBorders>
            <w:shd w:val="clear" w:color="auto" w:fill="43C0B9"/>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5.1</w:t>
            </w:r>
          </w:p>
        </w:tc>
        <w:tc>
          <w:tcPr>
            <w:tcW w:w="1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5.1</w:t>
            </w:r>
          </w:p>
        </w:tc>
        <w:tc>
          <w:tcPr>
            <w:tcW w:w="24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43C0B9"/>
          </w:tcPr>
          <w:p>
            <w:pPr>
              <w:jc w:val="right"/>
              <w:ind w:right="248"/>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6.5</w:t>
            </w:r>
          </w:p>
        </w:tc>
        <w:tc>
          <w:tcPr>
            <w:tcW w:w="1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6.5</w:t>
            </w:r>
          </w:p>
        </w:tc>
        <w:tc>
          <w:tcPr>
            <w:tcW w:w="2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r>
    </w:tbl>
    <w:p>
      <w:pPr>
        <w:spacing w:after="0" w:line="218" w:lineRule="exact"/>
        <w:rPr>
          <w:sz w:val="20"/>
          <w:szCs w:val="20"/>
          <w:color w:val="auto"/>
        </w:rPr>
      </w:pPr>
    </w:p>
    <w:p>
      <w:pPr>
        <w:ind w:right="60" w:firstLine="648"/>
        <w:spacing w:after="0" w:line="248" w:lineRule="auto"/>
        <w:rPr>
          <w:sz w:val="20"/>
          <w:szCs w:val="20"/>
          <w:color w:val="auto"/>
        </w:rPr>
      </w:pPr>
      <w:r>
        <w:rPr>
          <w:rFonts w:ascii="Arial" w:cs="Arial" w:eastAsia="Arial" w:hAnsi="Arial"/>
          <w:sz w:val="16"/>
          <w:szCs w:val="16"/>
          <w:color w:val="auto"/>
        </w:rPr>
        <w:t>The fair value of interest rate swaps is determined using widely accepted valuation techniques, including discounted cash flow analysis, on the expected cash flows of each derivative.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April 30, 2021 and October 31, 2020, that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condensed consolidated balance sheets and gains and losses for the interest rate swaps have been included in other (expense) income, net in the condensed consolidated statements of comprehensive income (loss).</w:t>
      </w: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374"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232F84"/>
        </w:rPr>
        <w:t>8.</w:t>
      </w:r>
      <w:r>
        <w:rPr>
          <w:sz w:val="20"/>
          <w:szCs w:val="20"/>
          <w:color w:val="auto"/>
        </w:rPr>
        <w:tab/>
      </w:r>
      <w:r>
        <w:rPr>
          <w:rFonts w:ascii="Arial" w:cs="Arial" w:eastAsia="Arial" w:hAnsi="Arial"/>
          <w:sz w:val="19"/>
          <w:szCs w:val="19"/>
          <w:b w:val="1"/>
          <w:bCs w:val="1"/>
          <w:color w:val="232F84"/>
        </w:rPr>
        <w:t>Earnings Per Share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shd w:val="clear" w:color="auto" w:fill="232F84"/>
          </w:tcPr>
          <w:p>
            <w:pPr>
              <w:spacing w:after="0"/>
              <w:rPr>
                <w:sz w:val="15"/>
                <w:szCs w:val="15"/>
                <w:color w:val="auto"/>
              </w:rPr>
            </w:pPr>
          </w:p>
        </w:tc>
        <w:tc>
          <w:tcPr>
            <w:tcW w:w="440" w:type="dxa"/>
            <w:vAlign w:val="bottom"/>
            <w:shd w:val="clear" w:color="auto" w:fill="232F84"/>
          </w:tcPr>
          <w:p>
            <w:pPr>
              <w:spacing w:after="0"/>
              <w:rPr>
                <w:sz w:val="15"/>
                <w:szCs w:val="15"/>
                <w:color w:val="auto"/>
              </w:rPr>
            </w:pPr>
          </w:p>
        </w:tc>
        <w:tc>
          <w:tcPr>
            <w:tcW w:w="1920" w:type="dxa"/>
            <w:vAlign w:val="bottom"/>
            <w:gridSpan w:val="2"/>
            <w:shd w:val="clear" w:color="auto" w:fill="232F8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920" w:type="dxa"/>
            <w:vAlign w:val="bottom"/>
            <w:shd w:val="clear" w:color="auto" w:fill="232F84"/>
          </w:tcPr>
          <w:p>
            <w:pPr>
              <w:spacing w:after="0"/>
              <w:rPr>
                <w:sz w:val="15"/>
                <w:szCs w:val="15"/>
                <w:color w:val="auto"/>
              </w:rPr>
            </w:pPr>
          </w:p>
        </w:tc>
        <w:tc>
          <w:tcPr>
            <w:tcW w:w="440" w:type="dxa"/>
            <w:vAlign w:val="bottom"/>
            <w:shd w:val="clear" w:color="auto" w:fill="232F84"/>
          </w:tcPr>
          <w:p>
            <w:pPr>
              <w:spacing w:after="0"/>
              <w:rPr>
                <w:sz w:val="15"/>
                <w:szCs w:val="15"/>
                <w:color w:val="auto"/>
              </w:rPr>
            </w:pPr>
          </w:p>
        </w:tc>
        <w:tc>
          <w:tcPr>
            <w:tcW w:w="1900" w:type="dxa"/>
            <w:vAlign w:val="bottom"/>
            <w:gridSpan w:val="2"/>
            <w:shd w:val="clear" w:color="auto" w:fill="232F84"/>
          </w:tcPr>
          <w:p>
            <w:pPr>
              <w:jc w:val="right"/>
              <w:ind w:right="28"/>
              <w:spacing w:after="0"/>
              <w:rPr>
                <w:sz w:val="20"/>
                <w:szCs w:val="20"/>
                <w:color w:val="auto"/>
              </w:rPr>
            </w:pPr>
            <w:r>
              <w:rPr>
                <w:rFonts w:ascii="Arial" w:cs="Arial" w:eastAsia="Arial" w:hAnsi="Arial"/>
                <w:sz w:val="14"/>
                <w:szCs w:val="14"/>
                <w:b w:val="1"/>
                <w:bCs w:val="1"/>
                <w:color w:val="FFFFFF"/>
              </w:rPr>
              <w:t>Six Months Ended</w:t>
            </w:r>
          </w:p>
        </w:tc>
        <w:tc>
          <w:tcPr>
            <w:tcW w:w="880" w:type="dxa"/>
            <w:vAlign w:val="bottom"/>
            <w:shd w:val="clear" w:color="auto" w:fill="232F84"/>
          </w:tcPr>
          <w:p>
            <w:pPr>
              <w:spacing w:after="0"/>
              <w:rPr>
                <w:sz w:val="15"/>
                <w:szCs w:val="15"/>
                <w:color w:val="auto"/>
              </w:rPr>
            </w:pPr>
          </w:p>
        </w:tc>
      </w:tr>
      <w:tr>
        <w:trPr>
          <w:trHeight w:val="206"/>
        </w:trPr>
        <w:tc>
          <w:tcPr>
            <w:tcW w:w="4740" w:type="dxa"/>
            <w:vAlign w:val="bottom"/>
            <w:shd w:val="clear" w:color="auto" w:fill="232F84"/>
          </w:tcPr>
          <w:p>
            <w:pPr>
              <w:spacing w:after="0"/>
              <w:rPr>
                <w:sz w:val="17"/>
                <w:szCs w:val="17"/>
                <w:color w:val="auto"/>
              </w:rPr>
            </w:pPr>
          </w:p>
        </w:tc>
        <w:tc>
          <w:tcPr>
            <w:tcW w:w="440" w:type="dxa"/>
            <w:vAlign w:val="bottom"/>
            <w:shd w:val="clear" w:color="auto" w:fill="232F84"/>
          </w:tcPr>
          <w:p>
            <w:pPr>
              <w:spacing w:after="0"/>
              <w:rPr>
                <w:sz w:val="17"/>
                <w:szCs w:val="17"/>
                <w:color w:val="auto"/>
              </w:rPr>
            </w:pPr>
          </w:p>
        </w:tc>
        <w:tc>
          <w:tcPr>
            <w:tcW w:w="1920" w:type="dxa"/>
            <w:vAlign w:val="bottom"/>
            <w:gridSpan w:val="2"/>
            <w:shd w:val="clear" w:color="auto" w:fill="232F84"/>
          </w:tcPr>
          <w:p>
            <w:pPr>
              <w:jc w:val="right"/>
              <w:ind w:right="408"/>
              <w:spacing w:after="0"/>
              <w:rPr>
                <w:sz w:val="20"/>
                <w:szCs w:val="20"/>
                <w:color w:val="auto"/>
              </w:rPr>
            </w:pPr>
            <w:r>
              <w:rPr>
                <w:rFonts w:ascii="Arial" w:cs="Arial" w:eastAsia="Arial" w:hAnsi="Arial"/>
                <w:sz w:val="14"/>
                <w:szCs w:val="14"/>
                <w:b w:val="1"/>
                <w:bCs w:val="1"/>
                <w:color w:val="FFFFFF"/>
              </w:rPr>
              <w:t>April 30,</w:t>
            </w:r>
          </w:p>
        </w:tc>
        <w:tc>
          <w:tcPr>
            <w:tcW w:w="920" w:type="dxa"/>
            <w:vAlign w:val="bottom"/>
            <w:shd w:val="clear" w:color="auto" w:fill="232F84"/>
          </w:tcPr>
          <w:p>
            <w:pPr>
              <w:spacing w:after="0"/>
              <w:rPr>
                <w:sz w:val="17"/>
                <w:szCs w:val="17"/>
                <w:color w:val="auto"/>
              </w:rPr>
            </w:pPr>
          </w:p>
        </w:tc>
        <w:tc>
          <w:tcPr>
            <w:tcW w:w="440" w:type="dxa"/>
            <w:vAlign w:val="bottom"/>
            <w:shd w:val="clear" w:color="auto" w:fill="232F84"/>
          </w:tcPr>
          <w:p>
            <w:pPr>
              <w:spacing w:after="0"/>
              <w:rPr>
                <w:sz w:val="17"/>
                <w:szCs w:val="17"/>
                <w:color w:val="auto"/>
              </w:rPr>
            </w:pPr>
          </w:p>
        </w:tc>
        <w:tc>
          <w:tcPr>
            <w:tcW w:w="1900" w:type="dxa"/>
            <w:vAlign w:val="bottom"/>
            <w:gridSpan w:val="2"/>
            <w:shd w:val="clear" w:color="auto" w:fill="232F84"/>
          </w:tcPr>
          <w:p>
            <w:pPr>
              <w:jc w:val="right"/>
              <w:ind w:right="368"/>
              <w:spacing w:after="0"/>
              <w:rPr>
                <w:sz w:val="20"/>
                <w:szCs w:val="20"/>
                <w:color w:val="auto"/>
              </w:rPr>
            </w:pPr>
            <w:r>
              <w:rPr>
                <w:rFonts w:ascii="Arial" w:cs="Arial" w:eastAsia="Arial" w:hAnsi="Arial"/>
                <w:sz w:val="14"/>
                <w:szCs w:val="14"/>
                <w:b w:val="1"/>
                <w:bCs w:val="1"/>
                <w:color w:val="FFFFFF"/>
              </w:rPr>
              <w:t>April 30,</w:t>
            </w:r>
          </w:p>
        </w:tc>
        <w:tc>
          <w:tcPr>
            <w:tcW w:w="880" w:type="dxa"/>
            <w:vAlign w:val="bottom"/>
            <w:shd w:val="clear" w:color="auto" w:fill="232F84"/>
          </w:tcPr>
          <w:p>
            <w:pPr>
              <w:spacing w:after="0"/>
              <w:rPr>
                <w:sz w:val="17"/>
                <w:szCs w:val="17"/>
                <w:color w:val="auto"/>
              </w:rPr>
            </w:pPr>
          </w:p>
        </w:tc>
      </w:tr>
      <w:tr>
        <w:trPr>
          <w:trHeight w:val="226"/>
        </w:trPr>
        <w:tc>
          <w:tcPr>
            <w:tcW w:w="4740" w:type="dxa"/>
            <w:vAlign w:val="bottom"/>
            <w:shd w:val="clear" w:color="auto" w:fill="232F84"/>
          </w:tcPr>
          <w:p>
            <w:pPr>
              <w:spacing w:after="0"/>
              <w:rPr>
                <w:sz w:val="19"/>
                <w:szCs w:val="19"/>
                <w:color w:val="auto"/>
              </w:rPr>
            </w:pPr>
          </w:p>
        </w:tc>
        <w:tc>
          <w:tcPr>
            <w:tcW w:w="440" w:type="dxa"/>
            <w:vAlign w:val="bottom"/>
            <w:shd w:val="clear" w:color="auto" w:fill="232F84"/>
          </w:tcPr>
          <w:p>
            <w:pPr>
              <w:spacing w:after="0"/>
              <w:rPr>
                <w:sz w:val="19"/>
                <w:szCs w:val="19"/>
                <w:color w:val="auto"/>
              </w:rPr>
            </w:pPr>
          </w:p>
        </w:tc>
        <w:tc>
          <w:tcPr>
            <w:tcW w:w="114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780" w:type="dxa"/>
            <w:vAlign w:val="bottom"/>
            <w:shd w:val="clear" w:color="auto" w:fill="232F84"/>
          </w:tcPr>
          <w:p>
            <w:pPr>
              <w:spacing w:after="0"/>
              <w:rPr>
                <w:sz w:val="19"/>
                <w:szCs w:val="19"/>
                <w:color w:val="auto"/>
              </w:rPr>
            </w:pPr>
          </w:p>
        </w:tc>
        <w:tc>
          <w:tcPr>
            <w:tcW w:w="920" w:type="dxa"/>
            <w:vAlign w:val="bottom"/>
            <w:shd w:val="clear" w:color="auto" w:fill="232F84"/>
          </w:tcPr>
          <w:p>
            <w:pPr>
              <w:jc w:val="right"/>
              <w:ind w:right="128"/>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232F84"/>
          </w:tcPr>
          <w:p>
            <w:pPr>
              <w:spacing w:after="0"/>
              <w:rPr>
                <w:sz w:val="19"/>
                <w:szCs w:val="19"/>
                <w:color w:val="auto"/>
              </w:rPr>
            </w:pPr>
          </w:p>
        </w:tc>
        <w:tc>
          <w:tcPr>
            <w:tcW w:w="114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760" w:type="dxa"/>
            <w:vAlign w:val="bottom"/>
            <w:shd w:val="clear" w:color="auto" w:fill="232F84"/>
          </w:tcPr>
          <w:p>
            <w:pPr>
              <w:spacing w:after="0"/>
              <w:rPr>
                <w:sz w:val="19"/>
                <w:szCs w:val="19"/>
                <w:color w:val="auto"/>
              </w:rPr>
            </w:pPr>
          </w:p>
        </w:tc>
        <w:tc>
          <w:tcPr>
            <w:tcW w:w="8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47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auto"/>
              </w:rPr>
              <w:t>Numerator:</w:t>
            </w:r>
          </w:p>
        </w:tc>
        <w:tc>
          <w:tcPr>
            <w:tcW w:w="440" w:type="dxa"/>
            <w:vAlign w:val="bottom"/>
            <w:shd w:val="clear" w:color="auto" w:fill="43C0B9"/>
          </w:tcPr>
          <w:p>
            <w:pPr>
              <w:spacing w:after="0"/>
              <w:rPr>
                <w:sz w:val="18"/>
                <w:szCs w:val="18"/>
                <w:color w:val="auto"/>
              </w:rPr>
            </w:pPr>
          </w:p>
        </w:tc>
        <w:tc>
          <w:tcPr>
            <w:tcW w:w="1140" w:type="dxa"/>
            <w:vAlign w:val="bottom"/>
            <w:shd w:val="clear" w:color="auto" w:fill="43C0B9"/>
          </w:tcPr>
          <w:p>
            <w:pPr>
              <w:spacing w:after="0"/>
              <w:rPr>
                <w:sz w:val="18"/>
                <w:szCs w:val="18"/>
                <w:color w:val="auto"/>
              </w:rPr>
            </w:pPr>
          </w:p>
        </w:tc>
        <w:tc>
          <w:tcPr>
            <w:tcW w:w="780" w:type="dxa"/>
            <w:vAlign w:val="bottom"/>
            <w:shd w:val="clear" w:color="auto" w:fill="43C0B9"/>
          </w:tcPr>
          <w:p>
            <w:pPr>
              <w:spacing w:after="0"/>
              <w:rPr>
                <w:sz w:val="18"/>
                <w:szCs w:val="18"/>
                <w:color w:val="auto"/>
              </w:rPr>
            </w:pPr>
          </w:p>
        </w:tc>
        <w:tc>
          <w:tcPr>
            <w:tcW w:w="920" w:type="dxa"/>
            <w:vAlign w:val="bottom"/>
            <w:shd w:val="clear" w:color="auto" w:fill="43C0B9"/>
          </w:tcPr>
          <w:p>
            <w:pPr>
              <w:spacing w:after="0"/>
              <w:rPr>
                <w:sz w:val="18"/>
                <w:szCs w:val="18"/>
                <w:color w:val="auto"/>
              </w:rPr>
            </w:pPr>
          </w:p>
        </w:tc>
        <w:tc>
          <w:tcPr>
            <w:tcW w:w="440" w:type="dxa"/>
            <w:vAlign w:val="bottom"/>
            <w:shd w:val="clear" w:color="auto" w:fill="43C0B9"/>
          </w:tcPr>
          <w:p>
            <w:pPr>
              <w:spacing w:after="0"/>
              <w:rPr>
                <w:sz w:val="18"/>
                <w:szCs w:val="18"/>
                <w:color w:val="auto"/>
              </w:rPr>
            </w:pPr>
          </w:p>
        </w:tc>
        <w:tc>
          <w:tcPr>
            <w:tcW w:w="1140" w:type="dxa"/>
            <w:vAlign w:val="bottom"/>
            <w:shd w:val="clear" w:color="auto" w:fill="43C0B9"/>
          </w:tcPr>
          <w:p>
            <w:pPr>
              <w:spacing w:after="0"/>
              <w:rPr>
                <w:sz w:val="18"/>
                <w:szCs w:val="18"/>
                <w:color w:val="auto"/>
              </w:rPr>
            </w:pPr>
          </w:p>
        </w:tc>
        <w:tc>
          <w:tcPr>
            <w:tcW w:w="760" w:type="dxa"/>
            <w:vAlign w:val="bottom"/>
            <w:shd w:val="clear" w:color="auto" w:fill="43C0B9"/>
          </w:tcPr>
          <w:p>
            <w:pPr>
              <w:spacing w:after="0"/>
              <w:rPr>
                <w:sz w:val="18"/>
                <w:szCs w:val="18"/>
                <w:color w:val="auto"/>
              </w:rPr>
            </w:pPr>
          </w:p>
        </w:tc>
        <w:tc>
          <w:tcPr>
            <w:tcW w:w="880" w:type="dxa"/>
            <w:vAlign w:val="bottom"/>
            <w:shd w:val="clear" w:color="auto" w:fill="43C0B9"/>
          </w:tcPr>
          <w:p>
            <w:pPr>
              <w:spacing w:after="0"/>
              <w:rPr>
                <w:sz w:val="18"/>
                <w:szCs w:val="18"/>
                <w:color w:val="auto"/>
              </w:rPr>
            </w:pPr>
          </w:p>
        </w:tc>
      </w:tr>
      <w:tr>
        <w:trPr>
          <w:trHeight w:val="210"/>
        </w:trPr>
        <w:tc>
          <w:tcPr>
            <w:tcW w:w="47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income (loss) available to shareholders (in millions)</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7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w:t>
            </w:r>
          </w:p>
        </w:tc>
        <w:tc>
          <w:tcPr>
            <w:tcW w:w="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16"/>
        </w:trPr>
        <w:tc>
          <w:tcPr>
            <w:tcW w:w="47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auto"/>
              </w:rPr>
              <w:t>Denominator:</w:t>
            </w:r>
          </w:p>
        </w:tc>
        <w:tc>
          <w:tcPr>
            <w:tcW w:w="440" w:type="dxa"/>
            <w:vAlign w:val="bottom"/>
            <w:shd w:val="clear" w:color="auto" w:fill="43C0B9"/>
          </w:tcPr>
          <w:p>
            <w:pPr>
              <w:spacing w:after="0"/>
              <w:rPr>
                <w:sz w:val="18"/>
                <w:szCs w:val="18"/>
                <w:color w:val="auto"/>
              </w:rPr>
            </w:pPr>
          </w:p>
        </w:tc>
        <w:tc>
          <w:tcPr>
            <w:tcW w:w="1140" w:type="dxa"/>
            <w:vAlign w:val="bottom"/>
            <w:shd w:val="clear" w:color="auto" w:fill="43C0B9"/>
          </w:tcPr>
          <w:p>
            <w:pPr>
              <w:spacing w:after="0"/>
              <w:rPr>
                <w:sz w:val="18"/>
                <w:szCs w:val="18"/>
                <w:color w:val="auto"/>
              </w:rPr>
            </w:pPr>
          </w:p>
        </w:tc>
        <w:tc>
          <w:tcPr>
            <w:tcW w:w="780" w:type="dxa"/>
            <w:vAlign w:val="bottom"/>
            <w:shd w:val="clear" w:color="auto" w:fill="43C0B9"/>
          </w:tcPr>
          <w:p>
            <w:pPr>
              <w:spacing w:after="0"/>
              <w:rPr>
                <w:sz w:val="18"/>
                <w:szCs w:val="18"/>
                <w:color w:val="auto"/>
              </w:rPr>
            </w:pPr>
          </w:p>
        </w:tc>
        <w:tc>
          <w:tcPr>
            <w:tcW w:w="920" w:type="dxa"/>
            <w:vAlign w:val="bottom"/>
            <w:shd w:val="clear" w:color="auto" w:fill="43C0B9"/>
          </w:tcPr>
          <w:p>
            <w:pPr>
              <w:spacing w:after="0"/>
              <w:rPr>
                <w:sz w:val="18"/>
                <w:szCs w:val="18"/>
                <w:color w:val="auto"/>
              </w:rPr>
            </w:pPr>
          </w:p>
        </w:tc>
        <w:tc>
          <w:tcPr>
            <w:tcW w:w="440" w:type="dxa"/>
            <w:vAlign w:val="bottom"/>
            <w:shd w:val="clear" w:color="auto" w:fill="43C0B9"/>
          </w:tcPr>
          <w:p>
            <w:pPr>
              <w:spacing w:after="0"/>
              <w:rPr>
                <w:sz w:val="18"/>
                <w:szCs w:val="18"/>
                <w:color w:val="auto"/>
              </w:rPr>
            </w:pPr>
          </w:p>
        </w:tc>
        <w:tc>
          <w:tcPr>
            <w:tcW w:w="1140" w:type="dxa"/>
            <w:vAlign w:val="bottom"/>
            <w:shd w:val="clear" w:color="auto" w:fill="43C0B9"/>
          </w:tcPr>
          <w:p>
            <w:pPr>
              <w:spacing w:after="0"/>
              <w:rPr>
                <w:sz w:val="18"/>
                <w:szCs w:val="18"/>
                <w:color w:val="auto"/>
              </w:rPr>
            </w:pPr>
          </w:p>
        </w:tc>
        <w:tc>
          <w:tcPr>
            <w:tcW w:w="760" w:type="dxa"/>
            <w:vAlign w:val="bottom"/>
            <w:shd w:val="clear" w:color="auto" w:fill="43C0B9"/>
          </w:tcPr>
          <w:p>
            <w:pPr>
              <w:spacing w:after="0"/>
              <w:rPr>
                <w:sz w:val="18"/>
                <w:szCs w:val="18"/>
                <w:color w:val="auto"/>
              </w:rPr>
            </w:pPr>
          </w:p>
        </w:tc>
        <w:tc>
          <w:tcPr>
            <w:tcW w:w="880" w:type="dxa"/>
            <w:vAlign w:val="bottom"/>
            <w:shd w:val="clear" w:color="auto" w:fill="43C0B9"/>
          </w:tcPr>
          <w:p>
            <w:pPr>
              <w:spacing w:after="0"/>
              <w:rPr>
                <w:sz w:val="18"/>
                <w:szCs w:val="18"/>
                <w:color w:val="auto"/>
              </w:rPr>
            </w:pPr>
          </w:p>
        </w:tc>
      </w:tr>
      <w:tr>
        <w:trPr>
          <w:trHeight w:val="194"/>
        </w:trPr>
        <w:tc>
          <w:tcPr>
            <w:tcW w:w="4740" w:type="dxa"/>
            <w:vAlign w:val="bottom"/>
          </w:tcPr>
          <w:p>
            <w:pPr>
              <w:ind w:left="360"/>
              <w:spacing w:after="0"/>
              <w:rPr>
                <w:sz w:val="20"/>
                <w:szCs w:val="20"/>
                <w:color w:val="auto"/>
              </w:rPr>
            </w:pPr>
            <w:r>
              <w:rPr>
                <w:rFonts w:ascii="Arial" w:cs="Arial" w:eastAsia="Arial" w:hAnsi="Arial"/>
                <w:sz w:val="14"/>
                <w:szCs w:val="14"/>
                <w:color w:val="auto"/>
              </w:rPr>
              <w:t>Weighted average shares of common stock outstanding, used in</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4740" w:type="dxa"/>
            <w:vAlign w:val="bottom"/>
          </w:tcPr>
          <w:p>
            <w:pPr>
              <w:ind w:left="360"/>
              <w:spacing w:after="0"/>
              <w:rPr>
                <w:sz w:val="20"/>
                <w:szCs w:val="20"/>
                <w:color w:val="auto"/>
              </w:rPr>
            </w:pPr>
            <w:r>
              <w:rPr>
                <w:rFonts w:ascii="Arial" w:cs="Arial" w:eastAsia="Arial" w:hAnsi="Arial"/>
                <w:sz w:val="14"/>
                <w:szCs w:val="14"/>
                <w:color w:val="auto"/>
              </w:rPr>
              <w:t>computing basic earnings per share</w:t>
            </w:r>
          </w:p>
        </w:tc>
        <w:tc>
          <w:tcPr>
            <w:tcW w:w="44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70,560,287</w:t>
            </w:r>
          </w:p>
        </w:tc>
        <w:tc>
          <w:tcPr>
            <w:tcW w:w="78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63,257,051</w:t>
            </w:r>
          </w:p>
        </w:tc>
        <w:tc>
          <w:tcPr>
            <w:tcW w:w="44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70,555,528</w:t>
            </w:r>
          </w:p>
        </w:tc>
        <w:tc>
          <w:tcPr>
            <w:tcW w:w="7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63,329,930</w:t>
            </w:r>
          </w:p>
        </w:tc>
      </w:tr>
      <w:tr>
        <w:trPr>
          <w:trHeight w:val="222"/>
        </w:trPr>
        <w:tc>
          <w:tcPr>
            <w:tcW w:w="4740" w:type="dxa"/>
            <w:vAlign w:val="bottom"/>
            <w:shd w:val="clear" w:color="auto" w:fill="43C0B9"/>
          </w:tcPr>
          <w:p>
            <w:pPr>
              <w:ind w:left="360"/>
              <w:spacing w:after="0"/>
              <w:rPr>
                <w:sz w:val="20"/>
                <w:szCs w:val="20"/>
                <w:color w:val="auto"/>
              </w:rPr>
            </w:pPr>
            <w:r>
              <w:rPr>
                <w:rFonts w:ascii="Arial" w:cs="Arial" w:eastAsia="Arial" w:hAnsi="Arial"/>
                <w:sz w:val="14"/>
                <w:szCs w:val="14"/>
                <w:color w:val="auto"/>
              </w:rPr>
              <w:t>Effect of dilutive stock options</w:t>
            </w:r>
          </w:p>
        </w:tc>
        <w:tc>
          <w:tcPr>
            <w:tcW w:w="440" w:type="dxa"/>
            <w:vAlign w:val="bottom"/>
            <w:shd w:val="clear" w:color="auto" w:fill="43C0B9"/>
          </w:tcPr>
          <w:p>
            <w:pPr>
              <w:spacing w:after="0"/>
              <w:rPr>
                <w:sz w:val="19"/>
                <w:szCs w:val="19"/>
                <w:color w:val="auto"/>
              </w:rPr>
            </w:pPr>
          </w:p>
        </w:tc>
        <w:tc>
          <w:tcPr>
            <w:tcW w:w="114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605,469</w:t>
            </w:r>
          </w:p>
        </w:tc>
        <w:tc>
          <w:tcPr>
            <w:tcW w:w="780" w:type="dxa"/>
            <w:vAlign w:val="bottom"/>
            <w:shd w:val="clear" w:color="auto" w:fill="43C0B9"/>
          </w:tcPr>
          <w:p>
            <w:pPr>
              <w:spacing w:after="0"/>
              <w:rPr>
                <w:sz w:val="19"/>
                <w:szCs w:val="19"/>
                <w:color w:val="auto"/>
              </w:rPr>
            </w:pPr>
          </w:p>
        </w:tc>
        <w:tc>
          <w:tcPr>
            <w:tcW w:w="920" w:type="dxa"/>
            <w:vAlign w:val="bottom"/>
            <w:shd w:val="clear" w:color="auto" w:fill="43C0B9"/>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43C0B9"/>
          </w:tcPr>
          <w:p>
            <w:pPr>
              <w:spacing w:after="0"/>
              <w:rPr>
                <w:sz w:val="19"/>
                <w:szCs w:val="19"/>
                <w:color w:val="auto"/>
              </w:rPr>
            </w:pPr>
          </w:p>
        </w:tc>
        <w:tc>
          <w:tcPr>
            <w:tcW w:w="114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335,095</w:t>
            </w:r>
          </w:p>
        </w:tc>
        <w:tc>
          <w:tcPr>
            <w:tcW w:w="760" w:type="dxa"/>
            <w:vAlign w:val="bottom"/>
            <w:shd w:val="clear" w:color="auto" w:fill="43C0B9"/>
          </w:tcPr>
          <w:p>
            <w:pPr>
              <w:spacing w:after="0"/>
              <w:rPr>
                <w:sz w:val="19"/>
                <w:szCs w:val="19"/>
                <w:color w:val="auto"/>
              </w:rPr>
            </w:pPr>
          </w:p>
        </w:tc>
        <w:tc>
          <w:tcPr>
            <w:tcW w:w="8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7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Effect of dilutive RSUs</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41,703</w:t>
            </w: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n/a</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36,961</w:t>
            </w: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r>
      <w:tr>
        <w:trPr>
          <w:trHeight w:val="193"/>
        </w:trPr>
        <w:tc>
          <w:tcPr>
            <w:tcW w:w="4740" w:type="dxa"/>
            <w:vAlign w:val="bottom"/>
            <w:shd w:val="clear" w:color="auto" w:fill="43C0B9"/>
          </w:tcPr>
          <w:p>
            <w:pPr>
              <w:ind w:left="140"/>
              <w:spacing w:after="0"/>
              <w:rPr>
                <w:sz w:val="20"/>
                <w:szCs w:val="20"/>
                <w:color w:val="auto"/>
              </w:rPr>
            </w:pPr>
            <w:r>
              <w:rPr>
                <w:rFonts w:ascii="Arial" w:cs="Arial" w:eastAsia="Arial" w:hAnsi="Arial"/>
                <w:sz w:val="14"/>
                <w:szCs w:val="14"/>
                <w:color w:val="auto"/>
              </w:rPr>
              <w:t>Weighted average shares of common stock outstanding, used in</w:t>
            </w:r>
          </w:p>
        </w:tc>
        <w:tc>
          <w:tcPr>
            <w:tcW w:w="440" w:type="dxa"/>
            <w:vAlign w:val="bottom"/>
            <w:shd w:val="clear" w:color="auto" w:fill="43C0B9"/>
          </w:tcPr>
          <w:p>
            <w:pPr>
              <w:spacing w:after="0"/>
              <w:rPr>
                <w:sz w:val="16"/>
                <w:szCs w:val="16"/>
                <w:color w:val="auto"/>
              </w:rPr>
            </w:pPr>
          </w:p>
        </w:tc>
        <w:tc>
          <w:tcPr>
            <w:tcW w:w="1140" w:type="dxa"/>
            <w:vAlign w:val="bottom"/>
            <w:shd w:val="clear" w:color="auto" w:fill="43C0B9"/>
          </w:tcPr>
          <w:p>
            <w:pPr>
              <w:spacing w:after="0"/>
              <w:rPr>
                <w:sz w:val="16"/>
                <w:szCs w:val="16"/>
                <w:color w:val="auto"/>
              </w:rPr>
            </w:pPr>
          </w:p>
        </w:tc>
        <w:tc>
          <w:tcPr>
            <w:tcW w:w="780" w:type="dxa"/>
            <w:vAlign w:val="bottom"/>
            <w:shd w:val="clear" w:color="auto" w:fill="43C0B9"/>
          </w:tcPr>
          <w:p>
            <w:pPr>
              <w:spacing w:after="0"/>
              <w:rPr>
                <w:sz w:val="16"/>
                <w:szCs w:val="16"/>
                <w:color w:val="auto"/>
              </w:rPr>
            </w:pPr>
          </w:p>
        </w:tc>
        <w:tc>
          <w:tcPr>
            <w:tcW w:w="920" w:type="dxa"/>
            <w:vAlign w:val="bottom"/>
            <w:shd w:val="clear" w:color="auto" w:fill="43C0B9"/>
          </w:tcPr>
          <w:p>
            <w:pPr>
              <w:spacing w:after="0"/>
              <w:rPr>
                <w:sz w:val="16"/>
                <w:szCs w:val="16"/>
                <w:color w:val="auto"/>
              </w:rPr>
            </w:pPr>
          </w:p>
        </w:tc>
        <w:tc>
          <w:tcPr>
            <w:tcW w:w="440" w:type="dxa"/>
            <w:vAlign w:val="bottom"/>
            <w:shd w:val="clear" w:color="auto" w:fill="43C0B9"/>
          </w:tcPr>
          <w:p>
            <w:pPr>
              <w:spacing w:after="0"/>
              <w:rPr>
                <w:sz w:val="16"/>
                <w:szCs w:val="16"/>
                <w:color w:val="auto"/>
              </w:rPr>
            </w:pPr>
          </w:p>
        </w:tc>
        <w:tc>
          <w:tcPr>
            <w:tcW w:w="1140" w:type="dxa"/>
            <w:vAlign w:val="bottom"/>
            <w:shd w:val="clear" w:color="auto" w:fill="43C0B9"/>
          </w:tcPr>
          <w:p>
            <w:pPr>
              <w:spacing w:after="0"/>
              <w:rPr>
                <w:sz w:val="16"/>
                <w:szCs w:val="16"/>
                <w:color w:val="auto"/>
              </w:rPr>
            </w:pPr>
          </w:p>
        </w:tc>
        <w:tc>
          <w:tcPr>
            <w:tcW w:w="760" w:type="dxa"/>
            <w:vAlign w:val="bottom"/>
            <w:shd w:val="clear" w:color="auto" w:fill="43C0B9"/>
          </w:tcPr>
          <w:p>
            <w:pPr>
              <w:spacing w:after="0"/>
              <w:rPr>
                <w:sz w:val="16"/>
                <w:szCs w:val="16"/>
                <w:color w:val="auto"/>
              </w:rPr>
            </w:pPr>
          </w:p>
        </w:tc>
        <w:tc>
          <w:tcPr>
            <w:tcW w:w="880" w:type="dxa"/>
            <w:vAlign w:val="bottom"/>
            <w:shd w:val="clear" w:color="auto" w:fill="43C0B9"/>
          </w:tcPr>
          <w:p>
            <w:pPr>
              <w:spacing w:after="0"/>
              <w:rPr>
                <w:sz w:val="16"/>
                <w:szCs w:val="16"/>
                <w:color w:val="auto"/>
              </w:rPr>
            </w:pPr>
          </w:p>
        </w:tc>
      </w:tr>
      <w:tr>
        <w:trPr>
          <w:trHeight w:val="178"/>
        </w:trPr>
        <w:tc>
          <w:tcPr>
            <w:tcW w:w="4740" w:type="dxa"/>
            <w:vAlign w:val="bottom"/>
            <w:tcBorders>
              <w:bottom w:val="single" w:sz="8" w:color="auto"/>
            </w:tcBorders>
            <w:shd w:val="clear" w:color="auto" w:fill="43C0B9"/>
          </w:tcPr>
          <w:p>
            <w:pPr>
              <w:ind w:left="140"/>
              <w:spacing w:after="0"/>
              <w:rPr>
                <w:sz w:val="20"/>
                <w:szCs w:val="20"/>
                <w:color w:val="auto"/>
              </w:rPr>
            </w:pPr>
            <w:r>
              <w:rPr>
                <w:rFonts w:ascii="Arial" w:cs="Arial" w:eastAsia="Arial" w:hAnsi="Arial"/>
                <w:sz w:val="14"/>
                <w:szCs w:val="14"/>
                <w:color w:val="auto"/>
              </w:rPr>
              <w:t>computing diluted earnings per share</w:t>
            </w:r>
          </w:p>
        </w:tc>
        <w:tc>
          <w:tcPr>
            <w:tcW w:w="440" w:type="dxa"/>
            <w:vAlign w:val="bottom"/>
            <w:tcBorders>
              <w:bottom w:val="single" w:sz="8" w:color="auto"/>
            </w:tcBorders>
            <w:shd w:val="clear" w:color="auto" w:fill="43C0B9"/>
          </w:tcPr>
          <w:p>
            <w:pPr>
              <w:spacing w:after="0"/>
              <w:rPr>
                <w:sz w:val="15"/>
                <w:szCs w:val="15"/>
                <w:color w:val="auto"/>
              </w:rPr>
            </w:pPr>
          </w:p>
        </w:tc>
        <w:tc>
          <w:tcPr>
            <w:tcW w:w="114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71,207,459</w:t>
            </w:r>
          </w:p>
        </w:tc>
        <w:tc>
          <w:tcPr>
            <w:tcW w:w="780" w:type="dxa"/>
            <w:vAlign w:val="bottom"/>
            <w:tcBorders>
              <w:bottom w:val="single" w:sz="8" w:color="auto"/>
            </w:tcBorders>
            <w:shd w:val="clear" w:color="auto" w:fill="43C0B9"/>
          </w:tcPr>
          <w:p>
            <w:pPr>
              <w:spacing w:after="0"/>
              <w:rPr>
                <w:sz w:val="15"/>
                <w:szCs w:val="15"/>
                <w:color w:val="auto"/>
              </w:rPr>
            </w:pPr>
          </w:p>
        </w:tc>
        <w:tc>
          <w:tcPr>
            <w:tcW w:w="920" w:type="dxa"/>
            <w:vAlign w:val="bottom"/>
            <w:tcBorders>
              <w:bottom w:val="single" w:sz="8" w:color="auto"/>
            </w:tcBorders>
            <w:shd w:val="clear" w:color="auto" w:fill="43C0B9"/>
          </w:tcPr>
          <w:p>
            <w:pPr>
              <w:jc w:val="right"/>
              <w:ind w:right="68"/>
              <w:spacing w:after="0"/>
              <w:rPr>
                <w:sz w:val="20"/>
                <w:szCs w:val="20"/>
                <w:color w:val="auto"/>
              </w:rPr>
            </w:pPr>
            <w:r>
              <w:rPr>
                <w:rFonts w:ascii="Arial" w:cs="Arial" w:eastAsia="Arial" w:hAnsi="Arial"/>
                <w:sz w:val="14"/>
                <w:szCs w:val="14"/>
                <w:color w:val="auto"/>
              </w:rPr>
              <w:t>63,257,051</w:t>
            </w:r>
          </w:p>
        </w:tc>
        <w:tc>
          <w:tcPr>
            <w:tcW w:w="440" w:type="dxa"/>
            <w:vAlign w:val="bottom"/>
            <w:tcBorders>
              <w:bottom w:val="single" w:sz="8" w:color="auto"/>
            </w:tcBorders>
            <w:shd w:val="clear" w:color="auto" w:fill="43C0B9"/>
          </w:tcPr>
          <w:p>
            <w:pPr>
              <w:spacing w:after="0"/>
              <w:rPr>
                <w:sz w:val="15"/>
                <w:szCs w:val="15"/>
                <w:color w:val="auto"/>
              </w:rPr>
            </w:pPr>
          </w:p>
        </w:tc>
        <w:tc>
          <w:tcPr>
            <w:tcW w:w="114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70,927,584</w:t>
            </w:r>
          </w:p>
        </w:tc>
        <w:tc>
          <w:tcPr>
            <w:tcW w:w="760" w:type="dxa"/>
            <w:vAlign w:val="bottom"/>
            <w:tcBorders>
              <w:bottom w:val="single" w:sz="8" w:color="auto"/>
            </w:tcBorders>
            <w:shd w:val="clear" w:color="auto" w:fill="43C0B9"/>
          </w:tcPr>
          <w:p>
            <w:pPr>
              <w:spacing w:after="0"/>
              <w:rPr>
                <w:sz w:val="15"/>
                <w:szCs w:val="15"/>
                <w:color w:val="auto"/>
              </w:rPr>
            </w:pPr>
          </w:p>
        </w:tc>
        <w:tc>
          <w:tcPr>
            <w:tcW w:w="8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63,329,930</w:t>
            </w:r>
          </w:p>
        </w:tc>
      </w:tr>
      <w:tr>
        <w:trPr>
          <w:trHeight w:val="210"/>
        </w:trPr>
        <w:tc>
          <w:tcPr>
            <w:tcW w:w="474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4740" w:type="dxa"/>
            <w:vAlign w:val="bottom"/>
            <w:shd w:val="clear" w:color="auto" w:fill="43C0B9"/>
          </w:tcPr>
          <w:p>
            <w:pPr>
              <w:ind w:left="360"/>
              <w:spacing w:after="0"/>
              <w:rPr>
                <w:sz w:val="20"/>
                <w:szCs w:val="20"/>
                <w:color w:val="auto"/>
              </w:rPr>
            </w:pPr>
            <w:r>
              <w:rPr>
                <w:rFonts w:ascii="Arial" w:cs="Arial" w:eastAsia="Arial" w:hAnsi="Arial"/>
                <w:sz w:val="14"/>
                <w:szCs w:val="14"/>
                <w:color w:val="auto"/>
              </w:rPr>
              <w:t>Basic</w:t>
            </w:r>
          </w:p>
        </w:tc>
        <w:tc>
          <w:tcPr>
            <w:tcW w:w="440" w:type="dxa"/>
            <w:vAlign w:val="bottom"/>
            <w:shd w:val="clear" w:color="auto" w:fill="43C0B9"/>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0.10</w:t>
            </w:r>
          </w:p>
        </w:tc>
        <w:tc>
          <w:tcPr>
            <w:tcW w:w="780" w:type="dxa"/>
            <w:vAlign w:val="bottom"/>
            <w:shd w:val="clear" w:color="auto" w:fill="43C0B9"/>
          </w:tcPr>
          <w:p>
            <w:pPr>
              <w:jc w:val="right"/>
              <w:ind w:right="548"/>
              <w:spacing w:after="0"/>
              <w:rPr>
                <w:sz w:val="20"/>
                <w:szCs w:val="20"/>
                <w:color w:val="auto"/>
              </w:rPr>
            </w:pPr>
            <w:r>
              <w:rPr>
                <w:rFonts w:ascii="Arial" w:cs="Arial" w:eastAsia="Arial" w:hAnsi="Arial"/>
                <w:sz w:val="14"/>
                <w:szCs w:val="14"/>
                <w:color w:val="auto"/>
              </w:rPr>
              <w:t>$</w:t>
            </w:r>
          </w:p>
        </w:tc>
        <w:tc>
          <w:tcPr>
            <w:tcW w:w="9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(0.23)</w:t>
            </w:r>
          </w:p>
        </w:tc>
        <w:tc>
          <w:tcPr>
            <w:tcW w:w="440" w:type="dxa"/>
            <w:vAlign w:val="bottom"/>
            <w:shd w:val="clear" w:color="auto" w:fill="43C0B9"/>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0.14</w:t>
            </w:r>
          </w:p>
        </w:tc>
        <w:tc>
          <w:tcPr>
            <w:tcW w:w="760" w:type="dxa"/>
            <w:vAlign w:val="bottom"/>
            <w:shd w:val="clear" w:color="auto" w:fill="43C0B9"/>
          </w:tcPr>
          <w:p>
            <w:pPr>
              <w:jc w:val="right"/>
              <w:ind w:right="508"/>
              <w:spacing w:after="0"/>
              <w:rPr>
                <w:sz w:val="20"/>
                <w:szCs w:val="20"/>
                <w:color w:val="auto"/>
              </w:rPr>
            </w:pPr>
            <w:r>
              <w:rPr>
                <w:rFonts w:ascii="Arial" w:cs="Arial" w:eastAsia="Arial" w:hAnsi="Arial"/>
                <w:sz w:val="14"/>
                <w:szCs w:val="14"/>
                <w:color w:val="auto"/>
              </w:rPr>
              <w:t>$</w:t>
            </w:r>
          </w:p>
        </w:tc>
        <w:tc>
          <w:tcPr>
            <w:tcW w:w="8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(0.21)</w:t>
            </w:r>
          </w:p>
        </w:tc>
      </w:tr>
      <w:tr>
        <w:trPr>
          <w:trHeight w:val="210"/>
        </w:trPr>
        <w:tc>
          <w:tcPr>
            <w:tcW w:w="47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Diluted</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0.10</w:t>
            </w:r>
          </w:p>
        </w:tc>
        <w:tc>
          <w:tcPr>
            <w:tcW w:w="7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(0.23)</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0.14</w:t>
            </w:r>
          </w:p>
        </w:tc>
        <w:tc>
          <w:tcPr>
            <w:tcW w:w="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r>
    </w:tbl>
    <w:p>
      <w:pPr>
        <w:spacing w:after="0" w:line="218"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Equity awards representing shares of common stock outstanding that were excluded in the computation of diluted EPS because their effect would have been anti-dilutive as a result of applying the treasury stock method,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shd w:val="clear" w:color="auto" w:fill="232F84"/>
          </w:tcPr>
          <w:p>
            <w:pPr>
              <w:spacing w:after="0"/>
              <w:rPr>
                <w:sz w:val="15"/>
                <w:szCs w:val="15"/>
                <w:color w:val="auto"/>
              </w:rPr>
            </w:pPr>
          </w:p>
        </w:tc>
        <w:tc>
          <w:tcPr>
            <w:tcW w:w="2400" w:type="dxa"/>
            <w:vAlign w:val="bottom"/>
            <w:shd w:val="clear" w:color="auto" w:fill="232F84"/>
          </w:tcPr>
          <w:p>
            <w:pPr>
              <w:jc w:val="right"/>
              <w:ind w:right="8"/>
              <w:spacing w:after="0"/>
              <w:rPr>
                <w:sz w:val="20"/>
                <w:szCs w:val="20"/>
                <w:color w:val="auto"/>
              </w:rPr>
            </w:pPr>
            <w:r>
              <w:rPr>
                <w:rFonts w:ascii="Arial" w:cs="Arial" w:eastAsia="Arial" w:hAnsi="Arial"/>
                <w:sz w:val="14"/>
                <w:szCs w:val="14"/>
                <w:b w:val="1"/>
                <w:bCs w:val="1"/>
                <w:color w:val="FFFFFF"/>
              </w:rPr>
              <w:t>Three Months Ended</w:t>
            </w:r>
          </w:p>
        </w:tc>
        <w:tc>
          <w:tcPr>
            <w:tcW w:w="880" w:type="dxa"/>
            <w:vAlign w:val="bottom"/>
            <w:shd w:val="clear" w:color="auto" w:fill="232F84"/>
          </w:tcPr>
          <w:p>
            <w:pPr>
              <w:spacing w:after="0"/>
              <w:rPr>
                <w:sz w:val="15"/>
                <w:szCs w:val="15"/>
                <w:color w:val="auto"/>
              </w:rPr>
            </w:pPr>
          </w:p>
        </w:tc>
        <w:tc>
          <w:tcPr>
            <w:tcW w:w="238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Six Months Ended</w:t>
            </w:r>
          </w:p>
        </w:tc>
        <w:tc>
          <w:tcPr>
            <w:tcW w:w="840" w:type="dxa"/>
            <w:vAlign w:val="bottom"/>
            <w:shd w:val="clear" w:color="auto" w:fill="232F84"/>
          </w:tcPr>
          <w:p>
            <w:pPr>
              <w:spacing w:after="0"/>
              <w:rPr>
                <w:sz w:val="15"/>
                <w:szCs w:val="15"/>
                <w:color w:val="auto"/>
              </w:rPr>
            </w:pPr>
          </w:p>
        </w:tc>
      </w:tr>
      <w:tr>
        <w:trPr>
          <w:trHeight w:val="206"/>
        </w:trPr>
        <w:tc>
          <w:tcPr>
            <w:tcW w:w="4740" w:type="dxa"/>
            <w:vAlign w:val="bottom"/>
            <w:shd w:val="clear" w:color="auto" w:fill="232F84"/>
          </w:tcPr>
          <w:p>
            <w:pPr>
              <w:spacing w:after="0"/>
              <w:rPr>
                <w:sz w:val="17"/>
                <w:szCs w:val="17"/>
                <w:color w:val="auto"/>
              </w:rPr>
            </w:pPr>
          </w:p>
        </w:tc>
        <w:tc>
          <w:tcPr>
            <w:tcW w:w="2400" w:type="dxa"/>
            <w:vAlign w:val="bottom"/>
            <w:shd w:val="clear" w:color="auto" w:fill="232F84"/>
          </w:tcPr>
          <w:p>
            <w:pPr>
              <w:jc w:val="right"/>
              <w:ind w:right="428"/>
              <w:spacing w:after="0"/>
              <w:rPr>
                <w:sz w:val="20"/>
                <w:szCs w:val="20"/>
                <w:color w:val="auto"/>
              </w:rPr>
            </w:pPr>
            <w:r>
              <w:rPr>
                <w:rFonts w:ascii="Arial" w:cs="Arial" w:eastAsia="Arial" w:hAnsi="Arial"/>
                <w:sz w:val="14"/>
                <w:szCs w:val="14"/>
                <w:b w:val="1"/>
                <w:bCs w:val="1"/>
                <w:color w:val="FFFFFF"/>
              </w:rPr>
              <w:t>April 30,</w:t>
            </w:r>
          </w:p>
        </w:tc>
        <w:tc>
          <w:tcPr>
            <w:tcW w:w="880" w:type="dxa"/>
            <w:vAlign w:val="bottom"/>
            <w:shd w:val="clear" w:color="auto" w:fill="232F84"/>
          </w:tcPr>
          <w:p>
            <w:pPr>
              <w:spacing w:after="0"/>
              <w:rPr>
                <w:sz w:val="17"/>
                <w:szCs w:val="17"/>
                <w:color w:val="auto"/>
              </w:rPr>
            </w:pPr>
          </w:p>
        </w:tc>
        <w:tc>
          <w:tcPr>
            <w:tcW w:w="2380" w:type="dxa"/>
            <w:vAlign w:val="bottom"/>
            <w:shd w:val="clear" w:color="auto" w:fill="232F84"/>
          </w:tcPr>
          <w:p>
            <w:pPr>
              <w:jc w:val="right"/>
              <w:ind w:right="408"/>
              <w:spacing w:after="0"/>
              <w:rPr>
                <w:sz w:val="20"/>
                <w:szCs w:val="20"/>
                <w:color w:val="auto"/>
              </w:rPr>
            </w:pPr>
            <w:r>
              <w:rPr>
                <w:rFonts w:ascii="Arial" w:cs="Arial" w:eastAsia="Arial" w:hAnsi="Arial"/>
                <w:sz w:val="14"/>
                <w:szCs w:val="14"/>
                <w:b w:val="1"/>
                <w:bCs w:val="1"/>
                <w:color w:val="FFFFFF"/>
              </w:rPr>
              <w:t>April 30,</w:t>
            </w:r>
          </w:p>
        </w:tc>
        <w:tc>
          <w:tcPr>
            <w:tcW w:w="840" w:type="dxa"/>
            <w:vAlign w:val="bottom"/>
            <w:shd w:val="clear" w:color="auto" w:fill="232F84"/>
          </w:tcPr>
          <w:p>
            <w:pPr>
              <w:spacing w:after="0"/>
              <w:rPr>
                <w:sz w:val="17"/>
                <w:szCs w:val="17"/>
                <w:color w:val="auto"/>
              </w:rPr>
            </w:pPr>
          </w:p>
        </w:tc>
      </w:tr>
      <w:tr>
        <w:trPr>
          <w:trHeight w:val="226"/>
        </w:trPr>
        <w:tc>
          <w:tcPr>
            <w:tcW w:w="4740" w:type="dxa"/>
            <w:vAlign w:val="bottom"/>
            <w:shd w:val="clear" w:color="auto" w:fill="232F84"/>
          </w:tcPr>
          <w:p>
            <w:pPr>
              <w:spacing w:after="0"/>
              <w:rPr>
                <w:sz w:val="19"/>
                <w:szCs w:val="19"/>
                <w:color w:val="auto"/>
              </w:rPr>
            </w:pPr>
          </w:p>
        </w:tc>
        <w:tc>
          <w:tcPr>
            <w:tcW w:w="2400" w:type="dxa"/>
            <w:vAlign w:val="bottom"/>
            <w:shd w:val="clear" w:color="auto" w:fill="232F84"/>
          </w:tcPr>
          <w:p>
            <w:pPr>
              <w:jc w:val="right"/>
              <w:ind w:right="888"/>
              <w:spacing w:after="0"/>
              <w:rPr>
                <w:sz w:val="20"/>
                <w:szCs w:val="20"/>
                <w:color w:val="auto"/>
              </w:rPr>
            </w:pPr>
            <w:r>
              <w:rPr>
                <w:rFonts w:ascii="Arial" w:cs="Arial" w:eastAsia="Arial" w:hAnsi="Arial"/>
                <w:sz w:val="14"/>
                <w:szCs w:val="14"/>
                <w:b w:val="1"/>
                <w:bCs w:val="1"/>
                <w:color w:val="FFFFFF"/>
              </w:rPr>
              <w:t>2021</w:t>
            </w:r>
          </w:p>
        </w:tc>
        <w:tc>
          <w:tcPr>
            <w:tcW w:w="880" w:type="dxa"/>
            <w:vAlign w:val="bottom"/>
            <w:shd w:val="clear" w:color="auto" w:fill="232F84"/>
          </w:tcPr>
          <w:p>
            <w:pPr>
              <w:jc w:val="right"/>
              <w:ind w:right="128"/>
              <w:spacing w:after="0"/>
              <w:rPr>
                <w:sz w:val="20"/>
                <w:szCs w:val="20"/>
                <w:color w:val="auto"/>
              </w:rPr>
            </w:pPr>
            <w:r>
              <w:rPr>
                <w:rFonts w:ascii="Arial" w:cs="Arial" w:eastAsia="Arial" w:hAnsi="Arial"/>
                <w:sz w:val="14"/>
                <w:szCs w:val="14"/>
                <w:b w:val="1"/>
                <w:bCs w:val="1"/>
                <w:color w:val="FFFFFF"/>
              </w:rPr>
              <w:t>2020</w:t>
            </w:r>
          </w:p>
        </w:tc>
        <w:tc>
          <w:tcPr>
            <w:tcW w:w="2380" w:type="dxa"/>
            <w:vAlign w:val="bottom"/>
            <w:shd w:val="clear" w:color="auto" w:fill="232F84"/>
          </w:tcPr>
          <w:p>
            <w:pPr>
              <w:jc w:val="right"/>
              <w:ind w:right="868"/>
              <w:spacing w:after="0"/>
              <w:rPr>
                <w:sz w:val="20"/>
                <w:szCs w:val="20"/>
                <w:color w:val="auto"/>
              </w:rPr>
            </w:pPr>
            <w:r>
              <w:rPr>
                <w:rFonts w:ascii="Arial" w:cs="Arial" w:eastAsia="Arial" w:hAnsi="Arial"/>
                <w:sz w:val="14"/>
                <w:szCs w:val="14"/>
                <w:b w:val="1"/>
                <w:bCs w:val="1"/>
                <w:color w:val="FFFFFF"/>
              </w:rPr>
              <w:t>2021</w:t>
            </w:r>
          </w:p>
        </w:tc>
        <w:tc>
          <w:tcPr>
            <w:tcW w:w="84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4740" w:type="dxa"/>
            <w:vAlign w:val="bottom"/>
            <w:shd w:val="clear" w:color="auto" w:fill="43C0B9"/>
          </w:tcPr>
          <w:p>
            <w:pPr>
              <w:ind w:left="20"/>
              <w:spacing w:after="0"/>
              <w:rPr>
                <w:sz w:val="20"/>
                <w:szCs w:val="20"/>
                <w:color w:val="auto"/>
              </w:rPr>
            </w:pPr>
            <w:r>
              <w:rPr>
                <w:rFonts w:ascii="Arial" w:cs="Arial" w:eastAsia="Arial" w:hAnsi="Arial"/>
                <w:sz w:val="14"/>
                <w:szCs w:val="14"/>
                <w:color w:val="auto"/>
              </w:rPr>
              <w:t>Anti-dilutive stock options</w:t>
            </w:r>
          </w:p>
        </w:tc>
        <w:tc>
          <w:tcPr>
            <w:tcW w:w="2400" w:type="dxa"/>
            <w:vAlign w:val="bottom"/>
            <w:shd w:val="clear" w:color="auto" w:fill="43C0B9"/>
          </w:tcPr>
          <w:p>
            <w:pPr>
              <w:jc w:val="right"/>
              <w:ind w:right="828"/>
              <w:spacing w:after="0"/>
              <w:rPr>
                <w:sz w:val="20"/>
                <w:szCs w:val="20"/>
                <w:color w:val="auto"/>
              </w:rPr>
            </w:pPr>
            <w:r>
              <w:rPr>
                <w:rFonts w:ascii="Arial" w:cs="Arial" w:eastAsia="Arial" w:hAnsi="Arial"/>
                <w:sz w:val="14"/>
                <w:szCs w:val="14"/>
                <w:color w:val="auto"/>
              </w:rPr>
              <w:t>141,392</w:t>
            </w:r>
          </w:p>
        </w:tc>
        <w:tc>
          <w:tcPr>
            <w:tcW w:w="880" w:type="dxa"/>
            <w:vAlign w:val="bottom"/>
            <w:shd w:val="clear" w:color="auto" w:fill="43C0B9"/>
          </w:tcPr>
          <w:p>
            <w:pPr>
              <w:jc w:val="right"/>
              <w:ind w:right="68"/>
              <w:spacing w:after="0"/>
              <w:rPr>
                <w:sz w:val="20"/>
                <w:szCs w:val="20"/>
                <w:color w:val="auto"/>
              </w:rPr>
            </w:pPr>
            <w:r>
              <w:rPr>
                <w:rFonts w:ascii="Arial" w:cs="Arial" w:eastAsia="Arial" w:hAnsi="Arial"/>
                <w:sz w:val="14"/>
                <w:szCs w:val="14"/>
                <w:color w:val="auto"/>
              </w:rPr>
              <w:t>1,058,352</w:t>
            </w:r>
          </w:p>
        </w:tc>
        <w:tc>
          <w:tcPr>
            <w:tcW w:w="2380" w:type="dxa"/>
            <w:vAlign w:val="bottom"/>
            <w:shd w:val="clear" w:color="auto" w:fill="43C0B9"/>
          </w:tcPr>
          <w:p>
            <w:pPr>
              <w:jc w:val="right"/>
              <w:ind w:right="808"/>
              <w:spacing w:after="0"/>
              <w:rPr>
                <w:sz w:val="20"/>
                <w:szCs w:val="20"/>
                <w:color w:val="auto"/>
              </w:rPr>
            </w:pPr>
            <w:r>
              <w:rPr>
                <w:rFonts w:ascii="Arial" w:cs="Arial" w:eastAsia="Arial" w:hAnsi="Arial"/>
                <w:sz w:val="14"/>
                <w:szCs w:val="14"/>
                <w:color w:val="auto"/>
              </w:rPr>
              <w:t>510,000</w:t>
            </w:r>
          </w:p>
        </w:tc>
        <w:tc>
          <w:tcPr>
            <w:tcW w:w="8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1,742,500</w:t>
            </w:r>
          </w:p>
        </w:tc>
      </w:tr>
      <w:tr>
        <w:trPr>
          <w:trHeight w:val="21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Anti-dilutive RSUs</w:t>
            </w:r>
          </w:p>
        </w:tc>
        <w:tc>
          <w:tcPr>
            <w:tcW w:w="24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3,480</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n/a</w:t>
            </w:r>
          </w:p>
        </w:tc>
        <w:tc>
          <w:tcPr>
            <w:tcW w:w="23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5,782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7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374" w:lineRule="exact"/>
        <w:rPr>
          <w:sz w:val="20"/>
          <w:szCs w:val="20"/>
          <w:color w:val="auto"/>
        </w:rPr>
      </w:pPr>
    </w:p>
    <w:p>
      <w:pPr>
        <w:ind w:left="440" w:hanging="432"/>
        <w:spacing w:after="0"/>
        <w:tabs>
          <w:tab w:leader="none" w:pos="440" w:val="left"/>
        </w:tabs>
        <w:numPr>
          <w:ilvl w:val="0"/>
          <w:numId w:val="9"/>
        </w:numPr>
        <w:rPr>
          <w:rFonts w:ascii="Arial" w:cs="Arial" w:eastAsia="Arial" w:hAnsi="Arial"/>
          <w:sz w:val="20"/>
          <w:szCs w:val="20"/>
          <w:b w:val="1"/>
          <w:bCs w:val="1"/>
          <w:color w:val="232F84"/>
        </w:rPr>
      </w:pPr>
      <w:r>
        <w:rPr>
          <w:rFonts w:ascii="Arial" w:cs="Arial" w:eastAsia="Arial" w:hAnsi="Arial"/>
          <w:sz w:val="20"/>
          <w:szCs w:val="20"/>
          <w:b w:val="1"/>
          <w:bCs w:val="1"/>
          <w:color w:val="232F84"/>
        </w:rPr>
        <w:t>Related Party Transactions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Transactions with related parties included in the condensed consolidated financial statements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20" w:type="dxa"/>
            <w:vAlign w:val="bottom"/>
            <w:tcBorders>
              <w:bottom w:val="single" w:sz="8" w:color="232F84"/>
            </w:tcBorders>
            <w:shd w:val="clear" w:color="auto" w:fill="232F84"/>
          </w:tcPr>
          <w:p>
            <w:pPr>
              <w:spacing w:after="0"/>
              <w:rPr>
                <w:sz w:val="17"/>
                <w:szCs w:val="17"/>
                <w:color w:val="auto"/>
              </w:rPr>
            </w:pPr>
          </w:p>
        </w:tc>
        <w:tc>
          <w:tcPr>
            <w:tcW w:w="280" w:type="dxa"/>
            <w:vAlign w:val="bottom"/>
            <w:tcBorders>
              <w:bottom w:val="single" w:sz="8" w:color="232F84"/>
            </w:tcBorders>
            <w:shd w:val="clear" w:color="auto" w:fill="232F84"/>
          </w:tcPr>
          <w:p>
            <w:pPr>
              <w:spacing w:after="0"/>
              <w:rPr>
                <w:sz w:val="17"/>
                <w:szCs w:val="17"/>
                <w:color w:val="auto"/>
              </w:rPr>
            </w:pPr>
          </w:p>
        </w:tc>
        <w:tc>
          <w:tcPr>
            <w:tcW w:w="580" w:type="dxa"/>
            <w:vAlign w:val="bottom"/>
            <w:tcBorders>
              <w:bottom w:val="single" w:sz="8" w:color="232F84"/>
            </w:tcBorders>
            <w:shd w:val="clear" w:color="auto" w:fill="232F84"/>
          </w:tcPr>
          <w:p>
            <w:pPr>
              <w:spacing w:after="0"/>
              <w:rPr>
                <w:sz w:val="17"/>
                <w:szCs w:val="17"/>
                <w:color w:val="auto"/>
              </w:rPr>
            </w:pPr>
          </w:p>
        </w:tc>
        <w:tc>
          <w:tcPr>
            <w:tcW w:w="240" w:type="dxa"/>
            <w:vAlign w:val="bottom"/>
            <w:tcBorders>
              <w:bottom w:val="single" w:sz="8" w:color="43C0B9"/>
            </w:tcBorders>
            <w:shd w:val="clear" w:color="auto" w:fill="232F84"/>
          </w:tcPr>
          <w:p>
            <w:pPr>
              <w:spacing w:after="0"/>
              <w:rPr>
                <w:sz w:val="17"/>
                <w:szCs w:val="17"/>
                <w:color w:val="auto"/>
              </w:rPr>
            </w:pPr>
          </w:p>
        </w:tc>
        <w:tc>
          <w:tcPr>
            <w:tcW w:w="140" w:type="dxa"/>
            <w:vAlign w:val="bottom"/>
            <w:tcBorders>
              <w:bottom w:val="single" w:sz="8" w:color="43C0B9"/>
            </w:tcBorders>
            <w:shd w:val="clear" w:color="auto" w:fill="232F84"/>
          </w:tcPr>
          <w:p>
            <w:pPr>
              <w:spacing w:after="0"/>
              <w:rPr>
                <w:sz w:val="17"/>
                <w:szCs w:val="17"/>
                <w:color w:val="auto"/>
              </w:rPr>
            </w:pPr>
          </w:p>
        </w:tc>
        <w:tc>
          <w:tcPr>
            <w:tcW w:w="1000" w:type="dxa"/>
            <w:vAlign w:val="bottom"/>
            <w:tcBorders>
              <w:bottom w:val="single" w:sz="8" w:color="43C0B9"/>
            </w:tcBorders>
            <w:shd w:val="clear" w:color="auto" w:fill="232F84"/>
          </w:tcPr>
          <w:p>
            <w:pPr>
              <w:spacing w:after="0"/>
              <w:rPr>
                <w:sz w:val="17"/>
                <w:szCs w:val="17"/>
                <w:color w:val="auto"/>
              </w:rPr>
            </w:pPr>
          </w:p>
        </w:tc>
        <w:tc>
          <w:tcPr>
            <w:tcW w:w="180" w:type="dxa"/>
            <w:vAlign w:val="bottom"/>
            <w:tcBorders>
              <w:bottom w:val="single" w:sz="8" w:color="43C0B9"/>
            </w:tcBorders>
            <w:shd w:val="clear" w:color="auto" w:fill="232F84"/>
          </w:tcPr>
          <w:p>
            <w:pPr>
              <w:spacing w:after="0"/>
              <w:rPr>
                <w:sz w:val="17"/>
                <w:szCs w:val="17"/>
                <w:color w:val="auto"/>
              </w:rPr>
            </w:pPr>
          </w:p>
        </w:tc>
        <w:tc>
          <w:tcPr>
            <w:tcW w:w="980" w:type="dxa"/>
            <w:vAlign w:val="bottom"/>
            <w:tcBorders>
              <w:bottom w:val="single" w:sz="8" w:color="43C0B9"/>
            </w:tcBorders>
            <w:shd w:val="clear" w:color="auto" w:fill="232F84"/>
          </w:tcPr>
          <w:p>
            <w:pPr>
              <w:spacing w:after="0"/>
              <w:rPr>
                <w:sz w:val="17"/>
                <w:szCs w:val="17"/>
                <w:color w:val="auto"/>
              </w:rPr>
            </w:pPr>
          </w:p>
        </w:tc>
        <w:tc>
          <w:tcPr>
            <w:tcW w:w="200" w:type="dxa"/>
            <w:vAlign w:val="bottom"/>
            <w:tcBorders>
              <w:bottom w:val="single" w:sz="8" w:color="43C0B9"/>
            </w:tcBorders>
            <w:shd w:val="clear" w:color="auto" w:fill="232F84"/>
          </w:tcPr>
          <w:p>
            <w:pPr>
              <w:spacing w:after="0"/>
              <w:rPr>
                <w:sz w:val="17"/>
                <w:szCs w:val="17"/>
                <w:color w:val="auto"/>
              </w:rPr>
            </w:pPr>
          </w:p>
        </w:tc>
        <w:tc>
          <w:tcPr>
            <w:tcW w:w="3020" w:type="dxa"/>
            <w:vAlign w:val="bottom"/>
            <w:tcBorders>
              <w:bottom w:val="single" w:sz="8" w:color="43C0B9"/>
            </w:tcBorders>
            <w:gridSpan w:val="4"/>
            <w:shd w:val="clear" w:color="auto" w:fill="232F84"/>
          </w:tcPr>
          <w:p>
            <w:pPr>
              <w:jc w:val="right"/>
              <w:ind w:right="177"/>
              <w:spacing w:after="0"/>
              <w:rPr>
                <w:sz w:val="20"/>
                <w:szCs w:val="20"/>
                <w:color w:val="auto"/>
              </w:rPr>
            </w:pPr>
            <w:r>
              <w:rPr>
                <w:rFonts w:ascii="Arial" w:cs="Arial" w:eastAsia="Arial" w:hAnsi="Arial"/>
                <w:sz w:val="13"/>
                <w:szCs w:val="13"/>
                <w:b w:val="1"/>
                <w:bCs w:val="1"/>
                <w:color w:val="FFFFFF"/>
              </w:rPr>
              <w:t>Condensed Consolidated Balance Sheets</w:t>
            </w:r>
          </w:p>
        </w:tc>
        <w:tc>
          <w:tcPr>
            <w:tcW w:w="140" w:type="dxa"/>
            <w:vAlign w:val="bottom"/>
            <w:tcBorders>
              <w:bottom w:val="single" w:sz="8" w:color="43C0B9"/>
            </w:tcBorders>
            <w:shd w:val="clear" w:color="auto" w:fill="232F84"/>
          </w:tcPr>
          <w:p>
            <w:pPr>
              <w:spacing w:after="0"/>
              <w:rPr>
                <w:sz w:val="17"/>
                <w:szCs w:val="17"/>
                <w:color w:val="auto"/>
              </w:rPr>
            </w:pPr>
          </w:p>
        </w:tc>
        <w:tc>
          <w:tcPr>
            <w:tcW w:w="260" w:type="dxa"/>
            <w:vAlign w:val="bottom"/>
            <w:tcBorders>
              <w:bottom w:val="single" w:sz="8" w:color="43C0B9"/>
            </w:tcBorders>
            <w:shd w:val="clear" w:color="auto" w:fill="232F84"/>
          </w:tcPr>
          <w:p>
            <w:pPr>
              <w:spacing w:after="0"/>
              <w:rPr>
                <w:sz w:val="17"/>
                <w:szCs w:val="17"/>
                <w:color w:val="auto"/>
              </w:rPr>
            </w:pPr>
          </w:p>
        </w:tc>
        <w:tc>
          <w:tcPr>
            <w:tcW w:w="940" w:type="dxa"/>
            <w:vAlign w:val="bottom"/>
            <w:tcBorders>
              <w:bottom w:val="single" w:sz="8" w:color="43C0B9"/>
            </w:tcBorders>
            <w:shd w:val="clear" w:color="auto" w:fill="232F84"/>
          </w:tcPr>
          <w:p>
            <w:pPr>
              <w:spacing w:after="0"/>
              <w:rPr>
                <w:sz w:val="17"/>
                <w:szCs w:val="17"/>
                <w:color w:val="auto"/>
              </w:rPr>
            </w:pPr>
          </w:p>
        </w:tc>
        <w:tc>
          <w:tcPr>
            <w:tcW w:w="240" w:type="dxa"/>
            <w:vAlign w:val="bottom"/>
            <w:tcBorders>
              <w:bottom w:val="single" w:sz="8" w:color="43C0B9"/>
            </w:tcBorders>
            <w:shd w:val="clear" w:color="auto" w:fill="232F84"/>
          </w:tcPr>
          <w:p>
            <w:pPr>
              <w:spacing w:after="0"/>
              <w:rPr>
                <w:sz w:val="17"/>
                <w:szCs w:val="17"/>
                <w:color w:val="auto"/>
              </w:rPr>
            </w:pPr>
          </w:p>
        </w:tc>
        <w:tc>
          <w:tcPr>
            <w:tcW w:w="200" w:type="dxa"/>
            <w:vAlign w:val="bottom"/>
            <w:tcBorders>
              <w:bottom w:val="single" w:sz="8" w:color="43C0B9"/>
            </w:tcBorders>
            <w:shd w:val="clear" w:color="auto" w:fill="232F84"/>
          </w:tcPr>
          <w:p>
            <w:pPr>
              <w:spacing w:after="0"/>
              <w:rPr>
                <w:sz w:val="17"/>
                <w:szCs w:val="17"/>
                <w:color w:val="auto"/>
              </w:rPr>
            </w:pPr>
          </w:p>
        </w:tc>
        <w:tc>
          <w:tcPr>
            <w:tcW w:w="1000" w:type="dxa"/>
            <w:vAlign w:val="bottom"/>
            <w:tcBorders>
              <w:bottom w:val="single" w:sz="8" w:color="43C0B9"/>
            </w:tcBorders>
            <w:shd w:val="clear" w:color="auto" w:fill="232F84"/>
          </w:tcPr>
          <w:p>
            <w:pPr>
              <w:spacing w:after="0"/>
              <w:rPr>
                <w:sz w:val="17"/>
                <w:szCs w:val="17"/>
                <w:color w:val="auto"/>
              </w:rPr>
            </w:pPr>
          </w:p>
        </w:tc>
        <w:tc>
          <w:tcPr>
            <w:tcW w:w="20" w:type="dxa"/>
            <w:vAlign w:val="bottom"/>
            <w:tcBorders>
              <w:bottom w:val="single" w:sz="8" w:color="43C0B9"/>
            </w:tcBorders>
            <w:shd w:val="clear" w:color="auto" w:fill="232F84"/>
          </w:tcPr>
          <w:p>
            <w:pPr>
              <w:spacing w:after="0"/>
              <w:rPr>
                <w:sz w:val="17"/>
                <w:szCs w:val="17"/>
                <w:color w:val="auto"/>
              </w:rPr>
            </w:pPr>
          </w:p>
        </w:tc>
      </w:tr>
      <w:tr>
        <w:trPr>
          <w:trHeight w:val="173"/>
        </w:trPr>
        <w:tc>
          <w:tcPr>
            <w:tcW w:w="182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240" w:type="dxa"/>
            <w:vAlign w:val="bottom"/>
            <w:shd w:val="clear" w:color="auto" w:fill="232F84"/>
          </w:tcPr>
          <w:p>
            <w:pPr>
              <w:spacing w:after="0"/>
              <w:rPr>
                <w:sz w:val="15"/>
                <w:szCs w:val="15"/>
                <w:color w:val="auto"/>
              </w:rPr>
            </w:pPr>
          </w:p>
        </w:tc>
        <w:tc>
          <w:tcPr>
            <w:tcW w:w="140" w:type="dxa"/>
            <w:vAlign w:val="bottom"/>
            <w:shd w:val="clear" w:color="auto" w:fill="232F84"/>
          </w:tcPr>
          <w:p>
            <w:pPr>
              <w:spacing w:after="0"/>
              <w:rPr>
                <w:sz w:val="15"/>
                <w:szCs w:val="15"/>
                <w:color w:val="auto"/>
              </w:rPr>
            </w:pPr>
          </w:p>
        </w:tc>
        <w:tc>
          <w:tcPr>
            <w:tcW w:w="1000" w:type="dxa"/>
            <w:vAlign w:val="bottom"/>
            <w:shd w:val="clear" w:color="auto" w:fill="232F84"/>
          </w:tcPr>
          <w:p>
            <w:pPr>
              <w:spacing w:after="0"/>
              <w:rPr>
                <w:sz w:val="15"/>
                <w:szCs w:val="15"/>
                <w:color w:val="auto"/>
              </w:rPr>
            </w:pPr>
          </w:p>
        </w:tc>
        <w:tc>
          <w:tcPr>
            <w:tcW w:w="180" w:type="dxa"/>
            <w:vAlign w:val="bottom"/>
            <w:shd w:val="clear" w:color="auto" w:fill="232F84"/>
          </w:tcPr>
          <w:p>
            <w:pPr>
              <w:spacing w:after="0"/>
              <w:rPr>
                <w:sz w:val="15"/>
                <w:szCs w:val="15"/>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rPr>
              <w:t>April 30, 2021</w:t>
            </w:r>
          </w:p>
        </w:tc>
        <w:tc>
          <w:tcPr>
            <w:tcW w:w="20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66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c>
          <w:tcPr>
            <w:tcW w:w="740" w:type="dxa"/>
            <w:vAlign w:val="bottom"/>
            <w:shd w:val="clear" w:color="auto" w:fill="232F84"/>
          </w:tcPr>
          <w:p>
            <w:pPr>
              <w:spacing w:after="0"/>
              <w:rPr>
                <w:sz w:val="15"/>
                <w:szCs w:val="15"/>
                <w:color w:val="auto"/>
              </w:rPr>
            </w:pPr>
          </w:p>
        </w:tc>
        <w:tc>
          <w:tcPr>
            <w:tcW w:w="140" w:type="dxa"/>
            <w:vAlign w:val="bottom"/>
            <w:shd w:val="clear" w:color="auto" w:fill="232F84"/>
          </w:tcPr>
          <w:p>
            <w:pPr>
              <w:spacing w:after="0"/>
              <w:rPr>
                <w:sz w:val="15"/>
                <w:szCs w:val="15"/>
                <w:color w:val="auto"/>
              </w:rPr>
            </w:pPr>
          </w:p>
        </w:tc>
        <w:tc>
          <w:tcPr>
            <w:tcW w:w="1200" w:type="dxa"/>
            <w:vAlign w:val="bottom"/>
            <w:gridSpan w:val="2"/>
            <w:shd w:val="clear" w:color="auto" w:fill="232F84"/>
          </w:tcPr>
          <w:p>
            <w:pPr>
              <w:jc w:val="right"/>
              <w:ind w:right="57"/>
              <w:spacing w:after="0"/>
              <w:rPr>
                <w:sz w:val="20"/>
                <w:szCs w:val="20"/>
                <w:color w:val="auto"/>
              </w:rPr>
            </w:pPr>
            <w:r>
              <w:rPr>
                <w:rFonts w:ascii="Arial" w:cs="Arial" w:eastAsia="Arial" w:hAnsi="Arial"/>
                <w:sz w:val="13"/>
                <w:szCs w:val="13"/>
                <w:b w:val="1"/>
                <w:bCs w:val="1"/>
                <w:color w:val="FFFFFF"/>
              </w:rPr>
              <w:t>October 31, 2020</w:t>
            </w:r>
          </w:p>
        </w:tc>
        <w:tc>
          <w:tcPr>
            <w:tcW w:w="240" w:type="dxa"/>
            <w:vAlign w:val="bottom"/>
            <w:shd w:val="clear" w:color="auto" w:fill="232F84"/>
          </w:tcPr>
          <w:p>
            <w:pPr>
              <w:spacing w:after="0"/>
              <w:rPr>
                <w:sz w:val="15"/>
                <w:szCs w:val="15"/>
                <w:color w:val="auto"/>
              </w:rPr>
            </w:pPr>
          </w:p>
        </w:tc>
        <w:tc>
          <w:tcPr>
            <w:tcW w:w="200" w:type="dxa"/>
            <w:vAlign w:val="bottom"/>
            <w:shd w:val="clear" w:color="auto" w:fill="232F84"/>
          </w:tcPr>
          <w:p>
            <w:pPr>
              <w:spacing w:after="0"/>
              <w:rPr>
                <w:sz w:val="15"/>
                <w:szCs w:val="15"/>
                <w:color w:val="auto"/>
              </w:rPr>
            </w:pPr>
          </w:p>
        </w:tc>
        <w:tc>
          <w:tcPr>
            <w:tcW w:w="1000" w:type="dxa"/>
            <w:vAlign w:val="bottom"/>
            <w:shd w:val="clear" w:color="auto" w:fill="232F84"/>
          </w:tcPr>
          <w:p>
            <w:pPr>
              <w:spacing w:after="0"/>
              <w:rPr>
                <w:sz w:val="15"/>
                <w:szCs w:val="15"/>
                <w:color w:val="auto"/>
              </w:rPr>
            </w:pPr>
          </w:p>
        </w:tc>
        <w:tc>
          <w:tcPr>
            <w:tcW w:w="20" w:type="dxa"/>
            <w:vAlign w:val="bottom"/>
            <w:shd w:val="clear" w:color="auto" w:fill="232F84"/>
          </w:tcPr>
          <w:p>
            <w:pPr>
              <w:spacing w:after="0"/>
              <w:rPr>
                <w:sz w:val="15"/>
                <w:szCs w:val="15"/>
                <w:color w:val="auto"/>
              </w:rPr>
            </w:pPr>
          </w:p>
        </w:tc>
      </w:tr>
      <w:tr>
        <w:trPr>
          <w:trHeight w:val="36"/>
        </w:trPr>
        <w:tc>
          <w:tcPr>
            <w:tcW w:w="1820" w:type="dxa"/>
            <w:vAlign w:val="bottom"/>
            <w:shd w:val="clear" w:color="auto" w:fill="232F84"/>
          </w:tcPr>
          <w:p>
            <w:pPr>
              <w:spacing w:after="0"/>
              <w:rPr>
                <w:sz w:val="3"/>
                <w:szCs w:val="3"/>
                <w:color w:val="auto"/>
              </w:rPr>
            </w:pPr>
          </w:p>
        </w:tc>
        <w:tc>
          <w:tcPr>
            <w:tcW w:w="280" w:type="dxa"/>
            <w:vAlign w:val="bottom"/>
            <w:shd w:val="clear" w:color="auto" w:fill="232F84"/>
          </w:tcPr>
          <w:p>
            <w:pPr>
              <w:spacing w:after="0"/>
              <w:rPr>
                <w:sz w:val="3"/>
                <w:szCs w:val="3"/>
                <w:color w:val="auto"/>
              </w:rPr>
            </w:pPr>
          </w:p>
        </w:tc>
        <w:tc>
          <w:tcPr>
            <w:tcW w:w="580" w:type="dxa"/>
            <w:vAlign w:val="bottom"/>
            <w:shd w:val="clear" w:color="auto" w:fill="232F84"/>
          </w:tcPr>
          <w:p>
            <w:pPr>
              <w:spacing w:after="0"/>
              <w:rPr>
                <w:sz w:val="3"/>
                <w:szCs w:val="3"/>
                <w:color w:val="auto"/>
              </w:rPr>
            </w:pPr>
          </w:p>
        </w:tc>
        <w:tc>
          <w:tcPr>
            <w:tcW w:w="240" w:type="dxa"/>
            <w:vAlign w:val="bottom"/>
            <w:shd w:val="clear" w:color="auto" w:fill="232F84"/>
          </w:tcPr>
          <w:p>
            <w:pPr>
              <w:spacing w:after="0"/>
              <w:rPr>
                <w:sz w:val="3"/>
                <w:szCs w:val="3"/>
                <w:color w:val="auto"/>
              </w:rPr>
            </w:pPr>
          </w:p>
        </w:tc>
        <w:tc>
          <w:tcPr>
            <w:tcW w:w="140" w:type="dxa"/>
            <w:vAlign w:val="bottom"/>
            <w:shd w:val="clear" w:color="auto" w:fill="232F84"/>
          </w:tcPr>
          <w:p>
            <w:pPr>
              <w:spacing w:after="0"/>
              <w:rPr>
                <w:sz w:val="3"/>
                <w:szCs w:val="3"/>
                <w:color w:val="auto"/>
              </w:rPr>
            </w:pPr>
          </w:p>
        </w:tc>
        <w:tc>
          <w:tcPr>
            <w:tcW w:w="1000" w:type="dxa"/>
            <w:vAlign w:val="bottom"/>
            <w:shd w:val="clear" w:color="auto" w:fill="232F84"/>
          </w:tcPr>
          <w:p>
            <w:pPr>
              <w:spacing w:after="0"/>
              <w:rPr>
                <w:sz w:val="3"/>
                <w:szCs w:val="3"/>
                <w:color w:val="auto"/>
              </w:rPr>
            </w:pPr>
          </w:p>
        </w:tc>
        <w:tc>
          <w:tcPr>
            <w:tcW w:w="180" w:type="dxa"/>
            <w:vAlign w:val="bottom"/>
            <w:shd w:val="clear" w:color="auto" w:fill="232F84"/>
          </w:tcPr>
          <w:p>
            <w:pPr>
              <w:spacing w:after="0"/>
              <w:rPr>
                <w:sz w:val="3"/>
                <w:szCs w:val="3"/>
                <w:color w:val="auto"/>
              </w:rPr>
            </w:pPr>
          </w:p>
        </w:tc>
        <w:tc>
          <w:tcPr>
            <w:tcW w:w="1180" w:type="dxa"/>
            <w:vAlign w:val="bottom"/>
            <w:gridSpan w:val="2"/>
            <w:shd w:val="clear" w:color="auto" w:fill="232F84"/>
          </w:tcPr>
          <w:p>
            <w:pPr>
              <w:spacing w:after="0"/>
              <w:rPr>
                <w:sz w:val="3"/>
                <w:szCs w:val="3"/>
                <w:color w:val="auto"/>
              </w:rPr>
            </w:pPr>
          </w:p>
        </w:tc>
        <w:tc>
          <w:tcPr>
            <w:tcW w:w="980" w:type="dxa"/>
            <w:vAlign w:val="bottom"/>
            <w:shd w:val="clear" w:color="auto" w:fill="232F84"/>
          </w:tcPr>
          <w:p>
            <w:pPr>
              <w:spacing w:after="0"/>
              <w:rPr>
                <w:sz w:val="3"/>
                <w:szCs w:val="3"/>
                <w:color w:val="auto"/>
              </w:rPr>
            </w:pPr>
          </w:p>
        </w:tc>
        <w:tc>
          <w:tcPr>
            <w:tcW w:w="660" w:type="dxa"/>
            <w:vAlign w:val="bottom"/>
            <w:shd w:val="clear" w:color="auto" w:fill="232F84"/>
          </w:tcPr>
          <w:p>
            <w:pPr>
              <w:spacing w:after="0"/>
              <w:rPr>
                <w:sz w:val="3"/>
                <w:szCs w:val="3"/>
                <w:color w:val="auto"/>
              </w:rPr>
            </w:pPr>
          </w:p>
        </w:tc>
        <w:tc>
          <w:tcPr>
            <w:tcW w:w="640" w:type="dxa"/>
            <w:vAlign w:val="bottom"/>
            <w:shd w:val="clear" w:color="auto" w:fill="232F84"/>
          </w:tcPr>
          <w:p>
            <w:pPr>
              <w:spacing w:after="0"/>
              <w:rPr>
                <w:sz w:val="3"/>
                <w:szCs w:val="3"/>
                <w:color w:val="auto"/>
              </w:rPr>
            </w:pPr>
          </w:p>
        </w:tc>
        <w:tc>
          <w:tcPr>
            <w:tcW w:w="740" w:type="dxa"/>
            <w:vAlign w:val="bottom"/>
            <w:shd w:val="clear" w:color="auto" w:fill="232F84"/>
          </w:tcPr>
          <w:p>
            <w:pPr>
              <w:spacing w:after="0"/>
              <w:rPr>
                <w:sz w:val="3"/>
                <w:szCs w:val="3"/>
                <w:color w:val="auto"/>
              </w:rPr>
            </w:pPr>
          </w:p>
        </w:tc>
        <w:tc>
          <w:tcPr>
            <w:tcW w:w="140" w:type="dxa"/>
            <w:vAlign w:val="bottom"/>
            <w:shd w:val="clear" w:color="auto" w:fill="232F84"/>
          </w:tcPr>
          <w:p>
            <w:pPr>
              <w:spacing w:after="0"/>
              <w:rPr>
                <w:sz w:val="3"/>
                <w:szCs w:val="3"/>
                <w:color w:val="auto"/>
              </w:rPr>
            </w:pPr>
          </w:p>
        </w:tc>
        <w:tc>
          <w:tcPr>
            <w:tcW w:w="260" w:type="dxa"/>
            <w:vAlign w:val="bottom"/>
            <w:shd w:val="clear" w:color="auto" w:fill="232F84"/>
          </w:tcPr>
          <w:p>
            <w:pPr>
              <w:spacing w:after="0"/>
              <w:rPr>
                <w:sz w:val="3"/>
                <w:szCs w:val="3"/>
                <w:color w:val="auto"/>
              </w:rPr>
            </w:pPr>
          </w:p>
        </w:tc>
        <w:tc>
          <w:tcPr>
            <w:tcW w:w="1180" w:type="dxa"/>
            <w:vAlign w:val="bottom"/>
            <w:gridSpan w:val="2"/>
            <w:shd w:val="clear" w:color="auto" w:fill="232F84"/>
          </w:tcPr>
          <w:p>
            <w:pPr>
              <w:spacing w:after="0"/>
              <w:rPr>
                <w:sz w:val="3"/>
                <w:szCs w:val="3"/>
                <w:color w:val="auto"/>
              </w:rPr>
            </w:pPr>
          </w:p>
        </w:tc>
        <w:tc>
          <w:tcPr>
            <w:tcW w:w="1200" w:type="dxa"/>
            <w:vAlign w:val="bottom"/>
            <w:gridSpan w:val="2"/>
            <w:shd w:val="clear" w:color="auto" w:fill="232F84"/>
          </w:tcPr>
          <w:p>
            <w:pPr>
              <w:spacing w:after="0"/>
              <w:rPr>
                <w:sz w:val="3"/>
                <w:szCs w:val="3"/>
                <w:color w:val="auto"/>
              </w:rPr>
            </w:pPr>
          </w:p>
        </w:tc>
        <w:tc>
          <w:tcPr>
            <w:tcW w:w="20" w:type="dxa"/>
            <w:vAlign w:val="bottom"/>
            <w:shd w:val="clear" w:color="auto" w:fill="232F84"/>
          </w:tcPr>
          <w:p>
            <w:pPr>
              <w:spacing w:after="0"/>
              <w:rPr>
                <w:sz w:val="3"/>
                <w:szCs w:val="3"/>
                <w:color w:val="auto"/>
              </w:rPr>
            </w:pPr>
          </w:p>
        </w:tc>
      </w:tr>
      <w:tr>
        <w:trPr>
          <w:trHeight w:val="160"/>
        </w:trPr>
        <w:tc>
          <w:tcPr>
            <w:tcW w:w="1820" w:type="dxa"/>
            <w:vAlign w:val="bottom"/>
            <w:shd w:val="clear" w:color="auto" w:fill="232F84"/>
          </w:tcPr>
          <w:p>
            <w:pPr>
              <w:spacing w:after="0"/>
              <w:rPr>
                <w:sz w:val="13"/>
                <w:szCs w:val="13"/>
                <w:color w:val="auto"/>
              </w:rPr>
            </w:pPr>
          </w:p>
        </w:tc>
        <w:tc>
          <w:tcPr>
            <w:tcW w:w="280" w:type="dxa"/>
            <w:vAlign w:val="bottom"/>
            <w:shd w:val="clear" w:color="auto" w:fill="232F84"/>
          </w:tcPr>
          <w:p>
            <w:pPr>
              <w:spacing w:after="0"/>
              <w:rPr>
                <w:sz w:val="13"/>
                <w:szCs w:val="13"/>
                <w:color w:val="auto"/>
              </w:rPr>
            </w:pPr>
          </w:p>
        </w:tc>
        <w:tc>
          <w:tcPr>
            <w:tcW w:w="580" w:type="dxa"/>
            <w:vAlign w:val="bottom"/>
            <w:shd w:val="clear" w:color="auto" w:fill="232F84"/>
          </w:tcPr>
          <w:p>
            <w:pPr>
              <w:spacing w:after="0"/>
              <w:rPr>
                <w:sz w:val="13"/>
                <w:szCs w:val="13"/>
                <w:color w:val="auto"/>
              </w:rPr>
            </w:pPr>
          </w:p>
        </w:tc>
        <w:tc>
          <w:tcPr>
            <w:tcW w:w="240" w:type="dxa"/>
            <w:vAlign w:val="bottom"/>
            <w:shd w:val="clear" w:color="auto" w:fill="232F84"/>
          </w:tcPr>
          <w:p>
            <w:pPr>
              <w:spacing w:after="0"/>
              <w:rPr>
                <w:sz w:val="13"/>
                <w:szCs w:val="13"/>
                <w:color w:val="auto"/>
              </w:rPr>
            </w:pPr>
          </w:p>
        </w:tc>
        <w:tc>
          <w:tcPr>
            <w:tcW w:w="140" w:type="dxa"/>
            <w:vAlign w:val="bottom"/>
            <w:shd w:val="clear" w:color="auto" w:fill="232F84"/>
          </w:tcPr>
          <w:p>
            <w:pPr>
              <w:spacing w:after="0"/>
              <w:rPr>
                <w:sz w:val="13"/>
                <w:szCs w:val="13"/>
                <w:color w:val="auto"/>
              </w:rPr>
            </w:pPr>
          </w:p>
        </w:tc>
        <w:tc>
          <w:tcPr>
            <w:tcW w:w="1000" w:type="dxa"/>
            <w:vAlign w:val="bottom"/>
            <w:shd w:val="clear" w:color="auto" w:fill="232F84"/>
          </w:tcPr>
          <w:p>
            <w:pPr>
              <w:spacing w:after="0"/>
              <w:rPr>
                <w:sz w:val="13"/>
                <w:szCs w:val="13"/>
                <w:color w:val="auto"/>
              </w:rPr>
            </w:pPr>
          </w:p>
        </w:tc>
        <w:tc>
          <w:tcPr>
            <w:tcW w:w="180" w:type="dxa"/>
            <w:vAlign w:val="bottom"/>
            <w:shd w:val="clear" w:color="auto" w:fill="232F84"/>
          </w:tcPr>
          <w:p>
            <w:pPr>
              <w:spacing w:after="0"/>
              <w:rPr>
                <w:sz w:val="13"/>
                <w:szCs w:val="13"/>
                <w:color w:val="auto"/>
              </w:rPr>
            </w:pPr>
          </w:p>
        </w:tc>
        <w:tc>
          <w:tcPr>
            <w:tcW w:w="1180" w:type="dxa"/>
            <w:vAlign w:val="bottom"/>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rPr>
              <w:t>Loans to equity</w:t>
            </w:r>
          </w:p>
        </w:tc>
        <w:tc>
          <w:tcPr>
            <w:tcW w:w="1640" w:type="dxa"/>
            <w:vAlign w:val="bottom"/>
            <w:gridSpan w:val="2"/>
            <w:shd w:val="clear" w:color="auto" w:fill="232F84"/>
          </w:tcPr>
          <w:p>
            <w:pPr>
              <w:jc w:val="right"/>
              <w:ind w:right="177"/>
              <w:spacing w:after="0"/>
              <w:rPr>
                <w:sz w:val="20"/>
                <w:szCs w:val="20"/>
                <w:color w:val="auto"/>
              </w:rPr>
            </w:pPr>
            <w:r>
              <w:rPr>
                <w:rFonts w:ascii="Arial" w:cs="Arial" w:eastAsia="Arial" w:hAnsi="Arial"/>
                <w:sz w:val="13"/>
                <w:szCs w:val="13"/>
                <w:b w:val="1"/>
                <w:bCs w:val="1"/>
                <w:color w:val="FFFFFF"/>
              </w:rPr>
              <w:t>Accounts payable &amp;</w:t>
            </w:r>
          </w:p>
        </w:tc>
        <w:tc>
          <w:tcPr>
            <w:tcW w:w="640" w:type="dxa"/>
            <w:vAlign w:val="bottom"/>
            <w:shd w:val="clear" w:color="auto" w:fill="232F84"/>
          </w:tcPr>
          <w:p>
            <w:pPr>
              <w:spacing w:after="0"/>
              <w:rPr>
                <w:sz w:val="13"/>
                <w:szCs w:val="13"/>
                <w:color w:val="auto"/>
              </w:rPr>
            </w:pPr>
          </w:p>
        </w:tc>
        <w:tc>
          <w:tcPr>
            <w:tcW w:w="740" w:type="dxa"/>
            <w:vAlign w:val="bottom"/>
            <w:shd w:val="clear" w:color="auto" w:fill="232F84"/>
          </w:tcPr>
          <w:p>
            <w:pPr>
              <w:spacing w:after="0"/>
              <w:rPr>
                <w:sz w:val="13"/>
                <w:szCs w:val="13"/>
                <w:color w:val="auto"/>
              </w:rPr>
            </w:pPr>
          </w:p>
        </w:tc>
        <w:tc>
          <w:tcPr>
            <w:tcW w:w="140" w:type="dxa"/>
            <w:vAlign w:val="bottom"/>
            <w:shd w:val="clear" w:color="auto" w:fill="232F84"/>
          </w:tcPr>
          <w:p>
            <w:pPr>
              <w:spacing w:after="0"/>
              <w:rPr>
                <w:sz w:val="13"/>
                <w:szCs w:val="13"/>
                <w:color w:val="auto"/>
              </w:rPr>
            </w:pPr>
          </w:p>
        </w:tc>
        <w:tc>
          <w:tcPr>
            <w:tcW w:w="260" w:type="dxa"/>
            <w:vAlign w:val="bottom"/>
            <w:shd w:val="clear" w:color="auto" w:fill="232F84"/>
          </w:tcPr>
          <w:p>
            <w:pPr>
              <w:spacing w:after="0"/>
              <w:rPr>
                <w:sz w:val="13"/>
                <w:szCs w:val="13"/>
                <w:color w:val="auto"/>
              </w:rPr>
            </w:pPr>
          </w:p>
        </w:tc>
        <w:tc>
          <w:tcPr>
            <w:tcW w:w="1180" w:type="dxa"/>
            <w:vAlign w:val="bottom"/>
            <w:gridSpan w:val="2"/>
            <w:shd w:val="clear" w:color="auto" w:fill="232F84"/>
          </w:tcPr>
          <w:p>
            <w:pPr>
              <w:jc w:val="right"/>
              <w:ind w:right="157"/>
              <w:spacing w:after="0"/>
              <w:rPr>
                <w:sz w:val="20"/>
                <w:szCs w:val="20"/>
                <w:color w:val="auto"/>
              </w:rPr>
            </w:pPr>
            <w:r>
              <w:rPr>
                <w:rFonts w:ascii="Arial" w:cs="Arial" w:eastAsia="Arial" w:hAnsi="Arial"/>
                <w:sz w:val="13"/>
                <w:szCs w:val="13"/>
                <w:b w:val="1"/>
                <w:bCs w:val="1"/>
                <w:color w:val="FFFFFF"/>
                <w:w w:val="97"/>
              </w:rPr>
              <w:t>Loans to equity</w:t>
            </w:r>
          </w:p>
        </w:tc>
        <w:tc>
          <w:tcPr>
            <w:tcW w:w="1220" w:type="dxa"/>
            <w:vAlign w:val="bottom"/>
            <w:gridSpan w:val="3"/>
            <w:shd w:val="clear" w:color="auto" w:fill="232F84"/>
          </w:tcPr>
          <w:p>
            <w:pPr>
              <w:spacing w:after="0"/>
              <w:rPr>
                <w:sz w:val="20"/>
                <w:szCs w:val="20"/>
                <w:color w:val="auto"/>
              </w:rPr>
            </w:pPr>
            <w:r>
              <w:rPr>
                <w:rFonts w:ascii="Arial" w:cs="Arial" w:eastAsia="Arial" w:hAnsi="Arial"/>
                <w:sz w:val="13"/>
                <w:szCs w:val="13"/>
                <w:b w:val="1"/>
                <w:bCs w:val="1"/>
                <w:color w:val="FFFFFF"/>
                <w:w w:val="96"/>
              </w:rPr>
              <w:t>Accounts payable &amp;</w:t>
            </w:r>
          </w:p>
        </w:tc>
      </w:tr>
      <w:tr>
        <w:trPr>
          <w:trHeight w:val="177"/>
        </w:trPr>
        <w:tc>
          <w:tcPr>
            <w:tcW w:w="182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3"/>
                <w:szCs w:val="13"/>
                <w:b w:val="1"/>
                <w:bCs w:val="1"/>
                <w:color w:val="FFFFFF"/>
              </w:rPr>
              <w:t>(In millions)</w:t>
            </w:r>
          </w:p>
        </w:tc>
        <w:tc>
          <w:tcPr>
            <w:tcW w:w="280" w:type="dxa"/>
            <w:vAlign w:val="bottom"/>
            <w:tcBorders>
              <w:bottom w:val="single" w:sz="8" w:color="232F84"/>
            </w:tcBorders>
            <w:shd w:val="clear" w:color="auto" w:fill="232F84"/>
          </w:tcPr>
          <w:p>
            <w:pPr>
              <w:spacing w:after="0"/>
              <w:rPr>
                <w:sz w:val="15"/>
                <w:szCs w:val="15"/>
                <w:color w:val="auto"/>
              </w:rPr>
            </w:pPr>
          </w:p>
        </w:tc>
        <w:tc>
          <w:tcPr>
            <w:tcW w:w="580" w:type="dxa"/>
            <w:vAlign w:val="bottom"/>
            <w:tcBorders>
              <w:bottom w:val="single" w:sz="8" w:color="232F84"/>
            </w:tcBorders>
            <w:shd w:val="clear" w:color="auto" w:fill="232F84"/>
          </w:tcPr>
          <w:p>
            <w:pPr>
              <w:spacing w:after="0"/>
              <w:rPr>
                <w:sz w:val="15"/>
                <w:szCs w:val="15"/>
                <w:color w:val="auto"/>
              </w:rPr>
            </w:pPr>
          </w:p>
        </w:tc>
        <w:tc>
          <w:tcPr>
            <w:tcW w:w="1380" w:type="dxa"/>
            <w:vAlign w:val="bottom"/>
            <w:tcBorders>
              <w:bottom w:val="single" w:sz="8" w:color="232F84"/>
            </w:tcBorders>
            <w:gridSpan w:val="3"/>
            <w:shd w:val="clear" w:color="auto" w:fill="232F84"/>
          </w:tcPr>
          <w:p>
            <w:pPr>
              <w:jc w:val="right"/>
              <w:ind w:right="17"/>
              <w:spacing w:after="0"/>
              <w:rPr>
                <w:sz w:val="20"/>
                <w:szCs w:val="20"/>
                <w:color w:val="auto"/>
              </w:rPr>
            </w:pPr>
            <w:r>
              <w:rPr>
                <w:rFonts w:ascii="Arial" w:cs="Arial" w:eastAsia="Arial" w:hAnsi="Arial"/>
                <w:sz w:val="13"/>
                <w:szCs w:val="13"/>
                <w:b w:val="1"/>
                <w:bCs w:val="1"/>
                <w:color w:val="FFFFFF"/>
              </w:rPr>
              <w:t>Accounts receivable</w:t>
            </w:r>
          </w:p>
        </w:tc>
        <w:tc>
          <w:tcPr>
            <w:tcW w:w="180" w:type="dxa"/>
            <w:vAlign w:val="bottom"/>
            <w:tcBorders>
              <w:bottom w:val="single" w:sz="8" w:color="232F84"/>
            </w:tcBorders>
            <w:shd w:val="clear" w:color="auto" w:fill="232F84"/>
          </w:tcPr>
          <w:p>
            <w:pPr>
              <w:spacing w:after="0"/>
              <w:rPr>
                <w:sz w:val="15"/>
                <w:szCs w:val="15"/>
                <w:color w:val="auto"/>
              </w:rPr>
            </w:pPr>
          </w:p>
        </w:tc>
        <w:tc>
          <w:tcPr>
            <w:tcW w:w="1180" w:type="dxa"/>
            <w:vAlign w:val="bottom"/>
            <w:tcBorders>
              <w:bottom w:val="single" w:sz="8" w:color="232F84"/>
            </w:tcBorders>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rPr>
              <w:t>method investees</w:t>
            </w:r>
          </w:p>
        </w:tc>
        <w:tc>
          <w:tcPr>
            <w:tcW w:w="1640" w:type="dxa"/>
            <w:vAlign w:val="bottom"/>
            <w:tcBorders>
              <w:bottom w:val="single" w:sz="8" w:color="232F84"/>
            </w:tcBorders>
            <w:gridSpan w:val="2"/>
            <w:shd w:val="clear" w:color="auto" w:fill="232F84"/>
          </w:tcPr>
          <w:p>
            <w:pPr>
              <w:jc w:val="right"/>
              <w:ind w:right="177"/>
              <w:spacing w:after="0"/>
              <w:rPr>
                <w:sz w:val="20"/>
                <w:szCs w:val="20"/>
                <w:color w:val="auto"/>
              </w:rPr>
            </w:pPr>
            <w:r>
              <w:rPr>
                <w:rFonts w:ascii="Arial" w:cs="Arial" w:eastAsia="Arial" w:hAnsi="Arial"/>
                <w:sz w:val="13"/>
                <w:szCs w:val="13"/>
                <w:b w:val="1"/>
                <w:bCs w:val="1"/>
                <w:color w:val="FFFFFF"/>
              </w:rPr>
              <w:t>accrued expenses</w:t>
            </w:r>
          </w:p>
        </w:tc>
        <w:tc>
          <w:tcPr>
            <w:tcW w:w="1380" w:type="dxa"/>
            <w:vAlign w:val="bottom"/>
            <w:tcBorders>
              <w:bottom w:val="single" w:sz="8" w:color="232F84"/>
            </w:tcBorders>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rPr>
              <w:t>Accounts receivable</w:t>
            </w:r>
          </w:p>
        </w:tc>
        <w:tc>
          <w:tcPr>
            <w:tcW w:w="140" w:type="dxa"/>
            <w:vAlign w:val="bottom"/>
            <w:tcBorders>
              <w:bottom w:val="single" w:sz="8" w:color="232F84"/>
            </w:tcBorders>
            <w:shd w:val="clear" w:color="auto" w:fill="232F84"/>
          </w:tcPr>
          <w:p>
            <w:pPr>
              <w:spacing w:after="0"/>
              <w:rPr>
                <w:sz w:val="15"/>
                <w:szCs w:val="15"/>
                <w:color w:val="auto"/>
              </w:rPr>
            </w:pPr>
          </w:p>
        </w:tc>
        <w:tc>
          <w:tcPr>
            <w:tcW w:w="1440" w:type="dxa"/>
            <w:vAlign w:val="bottom"/>
            <w:tcBorders>
              <w:bottom w:val="single" w:sz="8" w:color="232F84"/>
            </w:tcBorders>
            <w:gridSpan w:val="3"/>
            <w:shd w:val="clear" w:color="auto" w:fill="232F84"/>
          </w:tcPr>
          <w:p>
            <w:pPr>
              <w:jc w:val="right"/>
              <w:ind w:right="157"/>
              <w:spacing w:after="0"/>
              <w:rPr>
                <w:sz w:val="20"/>
                <w:szCs w:val="20"/>
                <w:color w:val="auto"/>
              </w:rPr>
            </w:pPr>
            <w:r>
              <w:rPr>
                <w:rFonts w:ascii="Arial" w:cs="Arial" w:eastAsia="Arial" w:hAnsi="Arial"/>
                <w:sz w:val="13"/>
                <w:szCs w:val="13"/>
                <w:b w:val="1"/>
                <w:bCs w:val="1"/>
                <w:color w:val="FFFFFF"/>
              </w:rPr>
              <w:t>method investees</w:t>
            </w:r>
          </w:p>
        </w:tc>
        <w:tc>
          <w:tcPr>
            <w:tcW w:w="1220" w:type="dxa"/>
            <w:vAlign w:val="bottom"/>
            <w:tcBorders>
              <w:bottom w:val="single" w:sz="8" w:color="232F84"/>
            </w:tcBorders>
            <w:gridSpan w:val="3"/>
            <w:shd w:val="clear" w:color="auto" w:fill="232F84"/>
          </w:tcPr>
          <w:p>
            <w:pPr>
              <w:ind w:left="120"/>
              <w:spacing w:after="0"/>
              <w:rPr>
                <w:sz w:val="20"/>
                <w:szCs w:val="20"/>
                <w:color w:val="auto"/>
              </w:rPr>
            </w:pPr>
            <w:r>
              <w:rPr>
                <w:rFonts w:ascii="Arial" w:cs="Arial" w:eastAsia="Arial" w:hAnsi="Arial"/>
                <w:sz w:val="13"/>
                <w:szCs w:val="13"/>
                <w:b w:val="1"/>
                <w:bCs w:val="1"/>
                <w:color w:val="FFFFFF"/>
                <w:w w:val="95"/>
              </w:rPr>
              <w:t>accrued expenses</w:t>
            </w:r>
          </w:p>
        </w:tc>
      </w:tr>
      <w:tr>
        <w:trPr>
          <w:trHeight w:val="183"/>
        </w:trPr>
        <w:tc>
          <w:tcPr>
            <w:tcW w:w="182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b w:val="1"/>
                <w:bCs w:val="1"/>
                <w:color w:val="auto"/>
              </w:rPr>
              <w:t>Equity method investees:</w:t>
            </w:r>
          </w:p>
        </w:tc>
        <w:tc>
          <w:tcPr>
            <w:tcW w:w="28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18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shd w:val="clear" w:color="auto" w:fill="43C0B9"/>
          </w:tcPr>
          <w:p>
            <w:pPr>
              <w:spacing w:after="0"/>
              <w:rPr>
                <w:sz w:val="15"/>
                <w:szCs w:val="15"/>
                <w:color w:val="auto"/>
              </w:rPr>
            </w:pPr>
          </w:p>
        </w:tc>
        <w:tc>
          <w:tcPr>
            <w:tcW w:w="640" w:type="dxa"/>
            <w:vAlign w:val="bottom"/>
            <w:tcBorders>
              <w:bottom w:val="single" w:sz="8" w:color="43C0B9"/>
            </w:tcBorders>
            <w:shd w:val="clear" w:color="auto" w:fill="43C0B9"/>
          </w:tcPr>
          <w:p>
            <w:pPr>
              <w:spacing w:after="0"/>
              <w:rPr>
                <w:sz w:val="15"/>
                <w:szCs w:val="15"/>
                <w:color w:val="auto"/>
              </w:rPr>
            </w:pPr>
          </w:p>
        </w:tc>
        <w:tc>
          <w:tcPr>
            <w:tcW w:w="7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260" w:type="dxa"/>
            <w:vAlign w:val="bottom"/>
            <w:tcBorders>
              <w:bottom w:val="single" w:sz="8" w:color="43C0B9"/>
            </w:tcBorders>
            <w:shd w:val="clear" w:color="auto" w:fill="43C0B9"/>
          </w:tcPr>
          <w:p>
            <w:pPr>
              <w:spacing w:after="0"/>
              <w:rPr>
                <w:sz w:val="15"/>
                <w:szCs w:val="15"/>
                <w:color w:val="auto"/>
              </w:rPr>
            </w:pPr>
          </w:p>
        </w:tc>
        <w:tc>
          <w:tcPr>
            <w:tcW w:w="94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20" w:type="dxa"/>
            <w:vAlign w:val="bottom"/>
            <w:tcBorders>
              <w:bottom w:val="single" w:sz="8" w:color="43C0B9"/>
            </w:tcBorders>
            <w:shd w:val="clear" w:color="auto" w:fill="43C0B9"/>
          </w:tcPr>
          <w:p>
            <w:pPr>
              <w:spacing w:after="0"/>
              <w:rPr>
                <w:sz w:val="15"/>
                <w:szCs w:val="15"/>
                <w:color w:val="auto"/>
              </w:rPr>
            </w:pPr>
          </w:p>
        </w:tc>
      </w:tr>
      <w:tr>
        <w:trPr>
          <w:trHeight w:val="173"/>
        </w:trPr>
        <w:tc>
          <w:tcPr>
            <w:tcW w:w="1820" w:type="dxa"/>
            <w:vAlign w:val="bottom"/>
          </w:tcPr>
          <w:p>
            <w:pPr>
              <w:ind w:left="140"/>
              <w:spacing w:after="0"/>
              <w:rPr>
                <w:sz w:val="20"/>
                <w:szCs w:val="20"/>
                <w:color w:val="auto"/>
              </w:rPr>
            </w:pPr>
            <w:r>
              <w:rPr>
                <w:rFonts w:ascii="Arial" w:cs="Arial" w:eastAsia="Arial" w:hAnsi="Arial"/>
                <w:sz w:val="13"/>
                <w:szCs w:val="13"/>
                <w:color w:val="auto"/>
              </w:rPr>
              <w:t>Mr. Avocado</w:t>
            </w:r>
          </w:p>
        </w:tc>
        <w:tc>
          <w:tcPr>
            <w:tcW w:w="280" w:type="dxa"/>
            <w:vAlign w:val="bottom"/>
          </w:tcPr>
          <w:p>
            <w:pPr>
              <w:spacing w:after="0"/>
              <w:rPr>
                <w:sz w:val="15"/>
                <w:szCs w:val="15"/>
                <w:color w:val="auto"/>
              </w:rPr>
            </w:pPr>
          </w:p>
        </w:tc>
        <w:tc>
          <w:tcPr>
            <w:tcW w:w="82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980" w:type="dxa"/>
            <w:vAlign w:val="bottom"/>
          </w:tcPr>
          <w:p>
            <w:pPr>
              <w:jc w:val="right"/>
              <w:ind w:right="73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0.6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29"/>
        </w:trPr>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820" w:type="dxa"/>
            <w:vAlign w:val="bottom"/>
            <w:shd w:val="clear" w:color="auto" w:fill="43C0B9"/>
          </w:tcPr>
          <w:p>
            <w:pPr>
              <w:ind w:left="140"/>
              <w:spacing w:after="0"/>
              <w:rPr>
                <w:sz w:val="20"/>
                <w:szCs w:val="20"/>
                <w:color w:val="auto"/>
              </w:rPr>
            </w:pPr>
            <w:r>
              <w:rPr>
                <w:rFonts w:ascii="Arial" w:cs="Arial" w:eastAsia="Arial" w:hAnsi="Arial"/>
                <w:sz w:val="13"/>
                <w:szCs w:val="13"/>
                <w:color w:val="auto"/>
              </w:rPr>
              <w:t>Moruga</w:t>
            </w:r>
            <w:r>
              <w:rPr>
                <w:rFonts w:ascii="Arial" w:cs="Arial" w:eastAsia="Arial" w:hAnsi="Arial"/>
                <w:sz w:val="16"/>
                <w:szCs w:val="16"/>
                <w:color w:val="auto"/>
                <w:vertAlign w:val="superscript"/>
              </w:rPr>
              <w:t>(1)</w:t>
            </w:r>
          </w:p>
        </w:tc>
        <w:tc>
          <w:tcPr>
            <w:tcW w:w="280" w:type="dxa"/>
            <w:vAlign w:val="bottom"/>
            <w:shd w:val="clear" w:color="auto" w:fill="43C0B9"/>
          </w:tcPr>
          <w:p>
            <w:pPr>
              <w:spacing w:after="0"/>
              <w:rPr>
                <w:sz w:val="17"/>
                <w:szCs w:val="17"/>
                <w:color w:val="auto"/>
              </w:rPr>
            </w:pPr>
          </w:p>
        </w:tc>
        <w:tc>
          <w:tcPr>
            <w:tcW w:w="580" w:type="dxa"/>
            <w:vAlign w:val="bottom"/>
            <w:shd w:val="clear" w:color="auto" w:fill="43C0B9"/>
          </w:tcPr>
          <w:p>
            <w:pPr>
              <w:spacing w:after="0"/>
              <w:rPr>
                <w:sz w:val="17"/>
                <w:szCs w:val="17"/>
                <w:color w:val="auto"/>
              </w:rPr>
            </w:pPr>
          </w:p>
        </w:tc>
        <w:tc>
          <w:tcPr>
            <w:tcW w:w="240" w:type="dxa"/>
            <w:vAlign w:val="bottom"/>
            <w:shd w:val="clear" w:color="auto" w:fill="43C0B9"/>
          </w:tcPr>
          <w:p>
            <w:pPr>
              <w:spacing w:after="0"/>
              <w:rPr>
                <w:sz w:val="17"/>
                <w:szCs w:val="17"/>
                <w:color w:val="auto"/>
              </w:rPr>
            </w:pPr>
          </w:p>
        </w:tc>
        <w:tc>
          <w:tcPr>
            <w:tcW w:w="140" w:type="dxa"/>
            <w:vAlign w:val="bottom"/>
            <w:shd w:val="clear" w:color="auto" w:fill="43C0B9"/>
          </w:tcPr>
          <w:p>
            <w:pPr>
              <w:spacing w:after="0"/>
              <w:rPr>
                <w:sz w:val="17"/>
                <w:szCs w:val="17"/>
                <w:color w:val="auto"/>
              </w:rPr>
            </w:pPr>
          </w:p>
        </w:tc>
        <w:tc>
          <w:tcPr>
            <w:tcW w:w="1000" w:type="dxa"/>
            <w:vAlign w:val="bottom"/>
            <w:shd w:val="clear" w:color="auto" w:fill="43C0B9"/>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shd w:val="clear" w:color="auto" w:fill="43C0B9"/>
          </w:tcPr>
          <w:p>
            <w:pPr>
              <w:spacing w:after="0"/>
              <w:rPr>
                <w:sz w:val="17"/>
                <w:szCs w:val="17"/>
                <w:color w:val="auto"/>
              </w:rPr>
            </w:pPr>
          </w:p>
        </w:tc>
        <w:tc>
          <w:tcPr>
            <w:tcW w:w="1180" w:type="dxa"/>
            <w:vAlign w:val="bottom"/>
            <w:gridSpan w:val="2"/>
            <w:shd w:val="clear" w:color="auto" w:fill="43C0B9"/>
          </w:tcPr>
          <w:p>
            <w:pPr>
              <w:jc w:val="right"/>
              <w:spacing w:after="0"/>
              <w:rPr>
                <w:sz w:val="20"/>
                <w:szCs w:val="20"/>
                <w:color w:val="auto"/>
              </w:rPr>
            </w:pPr>
            <w:r>
              <w:rPr>
                <w:rFonts w:ascii="Arial" w:cs="Arial" w:eastAsia="Arial" w:hAnsi="Arial"/>
                <w:sz w:val="13"/>
                <w:szCs w:val="13"/>
                <w:color w:val="auto"/>
              </w:rPr>
              <w:t>2.7</w:t>
            </w:r>
          </w:p>
        </w:tc>
        <w:tc>
          <w:tcPr>
            <w:tcW w:w="980" w:type="dxa"/>
            <w:vAlign w:val="bottom"/>
            <w:shd w:val="clear" w:color="auto" w:fill="43C0B9"/>
          </w:tcPr>
          <w:p>
            <w:pPr>
              <w:spacing w:after="0"/>
              <w:rPr>
                <w:sz w:val="17"/>
                <w:szCs w:val="17"/>
                <w:color w:val="auto"/>
              </w:rPr>
            </w:pPr>
          </w:p>
        </w:tc>
        <w:tc>
          <w:tcPr>
            <w:tcW w:w="660" w:type="dxa"/>
            <w:vAlign w:val="bottom"/>
            <w:shd w:val="clear" w:color="auto" w:fill="43C0B9"/>
          </w:tcPr>
          <w:p>
            <w:pPr>
              <w:jc w:val="right"/>
              <w:ind w:right="217"/>
              <w:spacing w:after="0"/>
              <w:rPr>
                <w:sz w:val="20"/>
                <w:szCs w:val="20"/>
                <w:color w:val="auto"/>
              </w:rPr>
            </w:pPr>
            <w:r>
              <w:rPr>
                <w:rFonts w:ascii="Arial" w:cs="Arial" w:eastAsia="Arial" w:hAnsi="Arial"/>
                <w:sz w:val="13"/>
                <w:szCs w:val="13"/>
                <w:color w:val="auto"/>
              </w:rPr>
              <w:t>—</w:t>
            </w:r>
          </w:p>
        </w:tc>
        <w:tc>
          <w:tcPr>
            <w:tcW w:w="640" w:type="dxa"/>
            <w:vAlign w:val="bottom"/>
            <w:shd w:val="clear" w:color="auto" w:fill="43C0B9"/>
          </w:tcPr>
          <w:p>
            <w:pPr>
              <w:spacing w:after="0"/>
              <w:rPr>
                <w:sz w:val="17"/>
                <w:szCs w:val="17"/>
                <w:color w:val="auto"/>
              </w:rPr>
            </w:pPr>
          </w:p>
        </w:tc>
        <w:tc>
          <w:tcPr>
            <w:tcW w:w="740" w:type="dxa"/>
            <w:vAlign w:val="bottom"/>
            <w:shd w:val="clear" w:color="auto" w:fill="43C0B9"/>
          </w:tcPr>
          <w:p>
            <w:pPr>
              <w:jc w:val="right"/>
              <w:ind w:right="37"/>
              <w:spacing w:after="0"/>
              <w:rPr>
                <w:sz w:val="20"/>
                <w:szCs w:val="20"/>
                <w:color w:val="auto"/>
              </w:rPr>
            </w:pPr>
            <w:r>
              <w:rPr>
                <w:rFonts w:ascii="Arial" w:cs="Arial" w:eastAsia="Arial" w:hAnsi="Arial"/>
                <w:sz w:val="13"/>
                <w:szCs w:val="13"/>
                <w:color w:val="auto"/>
              </w:rPr>
              <w:t>2.0</w:t>
            </w:r>
          </w:p>
        </w:tc>
        <w:tc>
          <w:tcPr>
            <w:tcW w:w="140" w:type="dxa"/>
            <w:vAlign w:val="bottom"/>
            <w:shd w:val="clear" w:color="auto" w:fill="43C0B9"/>
          </w:tcPr>
          <w:p>
            <w:pPr>
              <w:spacing w:after="0"/>
              <w:rPr>
                <w:sz w:val="17"/>
                <w:szCs w:val="17"/>
                <w:color w:val="auto"/>
              </w:rPr>
            </w:pPr>
          </w:p>
        </w:tc>
        <w:tc>
          <w:tcPr>
            <w:tcW w:w="260" w:type="dxa"/>
            <w:vAlign w:val="bottom"/>
            <w:shd w:val="clear" w:color="auto" w:fill="43C0B9"/>
          </w:tcPr>
          <w:p>
            <w:pPr>
              <w:spacing w:after="0"/>
              <w:rPr>
                <w:sz w:val="17"/>
                <w:szCs w:val="17"/>
                <w:color w:val="auto"/>
              </w:rPr>
            </w:pPr>
          </w:p>
        </w:tc>
        <w:tc>
          <w:tcPr>
            <w:tcW w:w="940" w:type="dxa"/>
            <w:vAlign w:val="bottom"/>
            <w:shd w:val="clear" w:color="auto" w:fill="43C0B9"/>
          </w:tcPr>
          <w:p>
            <w:pPr>
              <w:jc w:val="right"/>
              <w:spacing w:after="0"/>
              <w:rPr>
                <w:sz w:val="20"/>
                <w:szCs w:val="20"/>
                <w:color w:val="auto"/>
              </w:rPr>
            </w:pPr>
            <w:r>
              <w:rPr>
                <w:rFonts w:ascii="Arial" w:cs="Arial" w:eastAsia="Arial" w:hAnsi="Arial"/>
                <w:sz w:val="13"/>
                <w:szCs w:val="13"/>
                <w:color w:val="auto"/>
              </w:rPr>
              <w:t>4.5</w:t>
            </w:r>
          </w:p>
        </w:tc>
        <w:tc>
          <w:tcPr>
            <w:tcW w:w="240" w:type="dxa"/>
            <w:vAlign w:val="bottom"/>
            <w:shd w:val="clear" w:color="auto" w:fill="43C0B9"/>
          </w:tcPr>
          <w:p>
            <w:pPr>
              <w:spacing w:after="0"/>
              <w:rPr>
                <w:sz w:val="17"/>
                <w:szCs w:val="17"/>
                <w:color w:val="auto"/>
              </w:rPr>
            </w:pPr>
          </w:p>
        </w:tc>
        <w:tc>
          <w:tcPr>
            <w:tcW w:w="200" w:type="dxa"/>
            <w:vAlign w:val="bottom"/>
            <w:shd w:val="clear" w:color="auto" w:fill="43C0B9"/>
          </w:tcPr>
          <w:p>
            <w:pPr>
              <w:spacing w:after="0"/>
              <w:rPr>
                <w:sz w:val="17"/>
                <w:szCs w:val="17"/>
                <w:color w:val="auto"/>
              </w:rPr>
            </w:pPr>
          </w:p>
        </w:tc>
        <w:tc>
          <w:tcPr>
            <w:tcW w:w="1020" w:type="dxa"/>
            <w:vAlign w:val="bottom"/>
            <w:gridSpan w:val="2"/>
            <w:shd w:val="clear" w:color="auto" w:fill="43C0B9"/>
          </w:tcPr>
          <w:p>
            <w:pPr>
              <w:jc w:val="right"/>
              <w:ind w:right="60"/>
              <w:spacing w:after="0"/>
              <w:rPr>
                <w:sz w:val="20"/>
                <w:szCs w:val="20"/>
                <w:color w:val="auto"/>
              </w:rPr>
            </w:pPr>
            <w:r>
              <w:rPr>
                <w:rFonts w:ascii="Arial" w:cs="Arial" w:eastAsia="Arial" w:hAnsi="Arial"/>
                <w:sz w:val="13"/>
                <w:szCs w:val="13"/>
                <w:color w:val="auto"/>
              </w:rPr>
              <w:t>—</w:t>
            </w:r>
          </w:p>
        </w:tc>
      </w:tr>
      <w:tr>
        <w:trPr>
          <w:trHeight w:val="203"/>
        </w:trPr>
        <w:tc>
          <w:tcPr>
            <w:tcW w:w="1820" w:type="dxa"/>
            <w:vAlign w:val="bottom"/>
          </w:tcPr>
          <w:p>
            <w:pPr>
              <w:ind w:left="140"/>
              <w:spacing w:after="0"/>
              <w:rPr>
                <w:sz w:val="20"/>
                <w:szCs w:val="20"/>
                <w:color w:val="auto"/>
              </w:rPr>
            </w:pPr>
            <w:r>
              <w:rPr>
                <w:rFonts w:ascii="Arial" w:cs="Arial" w:eastAsia="Arial" w:hAnsi="Arial"/>
                <w:sz w:val="13"/>
                <w:szCs w:val="13"/>
                <w:color w:val="auto"/>
              </w:rPr>
              <w:t>Copaltas</w:t>
            </w:r>
            <w:r>
              <w:rPr>
                <w:rFonts w:ascii="Arial" w:cs="Arial" w:eastAsia="Arial" w:hAnsi="Arial"/>
                <w:sz w:val="16"/>
                <w:szCs w:val="16"/>
                <w:color w:val="auto"/>
                <w:vertAlign w:val="superscript"/>
              </w:rPr>
              <w:t>(4)</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980" w:type="dxa"/>
            <w:vAlign w:val="bottom"/>
          </w:tcPr>
          <w:p>
            <w:pPr>
              <w:spacing w:after="0"/>
              <w:rPr>
                <w:sz w:val="17"/>
                <w:szCs w:val="17"/>
                <w:color w:val="auto"/>
              </w:rPr>
            </w:pPr>
          </w:p>
        </w:tc>
        <w:tc>
          <w:tcPr>
            <w:tcW w:w="6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7"/>
                <w:szCs w:val="17"/>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83"/>
        </w:trPr>
        <w:tc>
          <w:tcPr>
            <w:tcW w:w="182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b w:val="1"/>
                <w:bCs w:val="1"/>
                <w:color w:val="auto"/>
              </w:rPr>
              <w:t>Other:</w:t>
            </w:r>
          </w:p>
        </w:tc>
        <w:tc>
          <w:tcPr>
            <w:tcW w:w="28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18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shd w:val="clear" w:color="auto" w:fill="43C0B9"/>
          </w:tcPr>
          <w:p>
            <w:pPr>
              <w:spacing w:after="0"/>
              <w:rPr>
                <w:sz w:val="15"/>
                <w:szCs w:val="15"/>
                <w:color w:val="auto"/>
              </w:rPr>
            </w:pPr>
          </w:p>
        </w:tc>
        <w:tc>
          <w:tcPr>
            <w:tcW w:w="640" w:type="dxa"/>
            <w:vAlign w:val="bottom"/>
            <w:tcBorders>
              <w:bottom w:val="single" w:sz="8" w:color="43C0B9"/>
            </w:tcBorders>
            <w:shd w:val="clear" w:color="auto" w:fill="43C0B9"/>
          </w:tcPr>
          <w:p>
            <w:pPr>
              <w:spacing w:after="0"/>
              <w:rPr>
                <w:sz w:val="15"/>
                <w:szCs w:val="15"/>
                <w:color w:val="auto"/>
              </w:rPr>
            </w:pPr>
          </w:p>
        </w:tc>
        <w:tc>
          <w:tcPr>
            <w:tcW w:w="7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260" w:type="dxa"/>
            <w:vAlign w:val="bottom"/>
            <w:tcBorders>
              <w:bottom w:val="single" w:sz="8" w:color="43C0B9"/>
            </w:tcBorders>
            <w:shd w:val="clear" w:color="auto" w:fill="43C0B9"/>
          </w:tcPr>
          <w:p>
            <w:pPr>
              <w:spacing w:after="0"/>
              <w:rPr>
                <w:sz w:val="15"/>
                <w:szCs w:val="15"/>
                <w:color w:val="auto"/>
              </w:rPr>
            </w:pPr>
          </w:p>
        </w:tc>
        <w:tc>
          <w:tcPr>
            <w:tcW w:w="94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20" w:type="dxa"/>
            <w:vAlign w:val="bottom"/>
            <w:tcBorders>
              <w:bottom w:val="single" w:sz="8" w:color="43C0B9"/>
            </w:tcBorders>
            <w:shd w:val="clear" w:color="auto" w:fill="43C0B9"/>
          </w:tcPr>
          <w:p>
            <w:pPr>
              <w:spacing w:after="0"/>
              <w:rPr>
                <w:sz w:val="15"/>
                <w:szCs w:val="15"/>
                <w:color w:val="auto"/>
              </w:rPr>
            </w:pPr>
          </w:p>
        </w:tc>
      </w:tr>
      <w:tr>
        <w:trPr>
          <w:trHeight w:val="203"/>
        </w:trPr>
        <w:tc>
          <w:tcPr>
            <w:tcW w:w="1820" w:type="dxa"/>
            <w:vAlign w:val="bottom"/>
          </w:tcPr>
          <w:p>
            <w:pPr>
              <w:ind w:left="140"/>
              <w:spacing w:after="0"/>
              <w:rPr>
                <w:sz w:val="20"/>
                <w:szCs w:val="20"/>
                <w:color w:val="auto"/>
              </w:rPr>
            </w:pPr>
            <w:r>
              <w:rPr>
                <w:rFonts w:ascii="Arial" w:cs="Arial" w:eastAsia="Arial" w:hAnsi="Arial"/>
                <w:sz w:val="13"/>
                <w:szCs w:val="13"/>
                <w:color w:val="auto"/>
              </w:rPr>
              <w:t>Directors/Officers</w:t>
            </w:r>
            <w:r>
              <w:rPr>
                <w:rFonts w:ascii="Arial" w:cs="Arial" w:eastAsia="Arial" w:hAnsi="Arial"/>
                <w:sz w:val="16"/>
                <w:szCs w:val="16"/>
                <w:color w:val="auto"/>
                <w:vertAlign w:val="superscript"/>
              </w:rPr>
              <w:t>(2)</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980" w:type="dxa"/>
            <w:vAlign w:val="bottom"/>
          </w:tcPr>
          <w:p>
            <w:pPr>
              <w:spacing w:after="0"/>
              <w:rPr>
                <w:sz w:val="17"/>
                <w:szCs w:val="17"/>
                <w:color w:val="auto"/>
              </w:rPr>
            </w:pPr>
          </w:p>
        </w:tc>
        <w:tc>
          <w:tcPr>
            <w:tcW w:w="660" w:type="dxa"/>
            <w:vAlign w:val="bottom"/>
          </w:tcPr>
          <w:p>
            <w:pPr>
              <w:jc w:val="right"/>
              <w:ind w:right="217"/>
              <w:spacing w:after="0"/>
              <w:rPr>
                <w:sz w:val="20"/>
                <w:szCs w:val="20"/>
                <w:color w:val="auto"/>
              </w:rPr>
            </w:pPr>
            <w:r>
              <w:rPr>
                <w:rFonts w:ascii="Arial" w:cs="Arial" w:eastAsia="Arial" w:hAnsi="Arial"/>
                <w:sz w:val="13"/>
                <w:szCs w:val="13"/>
                <w:color w:val="auto"/>
              </w:rPr>
              <w:t>0.4</w:t>
            </w:r>
          </w:p>
        </w:tc>
        <w:tc>
          <w:tcPr>
            <w:tcW w:w="640" w:type="dxa"/>
            <w:vAlign w:val="bottom"/>
          </w:tcPr>
          <w:p>
            <w:pPr>
              <w:spacing w:after="0"/>
              <w:rPr>
                <w:sz w:val="17"/>
                <w:szCs w:val="17"/>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0.2</w:t>
            </w:r>
          </w:p>
        </w:tc>
        <w:tc>
          <w:tcPr>
            <w:tcW w:w="20" w:type="dxa"/>
            <w:vAlign w:val="bottom"/>
          </w:tcPr>
          <w:p>
            <w:pPr>
              <w:spacing w:after="0"/>
              <w:rPr>
                <w:sz w:val="17"/>
                <w:szCs w:val="17"/>
                <w:color w:val="auto"/>
              </w:rPr>
            </w:pPr>
          </w:p>
        </w:tc>
      </w:tr>
      <w:tr>
        <w:trPr>
          <w:trHeight w:val="203"/>
        </w:trPr>
        <w:tc>
          <w:tcPr>
            <w:tcW w:w="1820" w:type="dxa"/>
            <w:vAlign w:val="bottom"/>
            <w:tcBorders>
              <w:bottom w:val="single" w:sz="8" w:color="auto"/>
            </w:tcBorders>
            <w:shd w:val="clear" w:color="auto" w:fill="43C0B9"/>
          </w:tcPr>
          <w:p>
            <w:pPr>
              <w:ind w:left="140"/>
              <w:spacing w:after="0"/>
              <w:rPr>
                <w:sz w:val="20"/>
                <w:szCs w:val="20"/>
                <w:color w:val="auto"/>
              </w:rPr>
            </w:pPr>
            <w:r>
              <w:rPr>
                <w:rFonts w:ascii="Arial" w:cs="Arial" w:eastAsia="Arial" w:hAnsi="Arial"/>
                <w:sz w:val="13"/>
                <w:szCs w:val="13"/>
                <w:color w:val="auto"/>
              </w:rPr>
              <w:t>Employees</w:t>
            </w:r>
            <w:r>
              <w:rPr>
                <w:rFonts w:ascii="Arial" w:cs="Arial" w:eastAsia="Arial" w:hAnsi="Arial"/>
                <w:sz w:val="16"/>
                <w:szCs w:val="16"/>
                <w:color w:val="auto"/>
                <w:vertAlign w:val="superscript"/>
              </w:rPr>
              <w:t>(3)</w:t>
            </w:r>
          </w:p>
        </w:tc>
        <w:tc>
          <w:tcPr>
            <w:tcW w:w="280" w:type="dxa"/>
            <w:vAlign w:val="bottom"/>
            <w:tcBorders>
              <w:bottom w:val="single" w:sz="8" w:color="auto"/>
            </w:tcBorders>
            <w:shd w:val="clear" w:color="auto" w:fill="43C0B9"/>
          </w:tcPr>
          <w:p>
            <w:pPr>
              <w:spacing w:after="0"/>
              <w:rPr>
                <w:sz w:val="17"/>
                <w:szCs w:val="17"/>
                <w:color w:val="auto"/>
              </w:rPr>
            </w:pPr>
          </w:p>
        </w:tc>
        <w:tc>
          <w:tcPr>
            <w:tcW w:w="580" w:type="dxa"/>
            <w:vAlign w:val="bottom"/>
            <w:tcBorders>
              <w:bottom w:val="single" w:sz="8" w:color="auto"/>
            </w:tcBorders>
            <w:shd w:val="clear" w:color="auto" w:fill="43C0B9"/>
          </w:tcPr>
          <w:p>
            <w:pPr>
              <w:spacing w:after="0"/>
              <w:rPr>
                <w:sz w:val="17"/>
                <w:szCs w:val="17"/>
                <w:color w:val="auto"/>
              </w:rPr>
            </w:pPr>
          </w:p>
        </w:tc>
        <w:tc>
          <w:tcPr>
            <w:tcW w:w="240" w:type="dxa"/>
            <w:vAlign w:val="bottom"/>
            <w:tcBorders>
              <w:bottom w:val="single" w:sz="8" w:color="auto"/>
            </w:tcBorders>
            <w:shd w:val="clear" w:color="auto" w:fill="43C0B9"/>
          </w:tcPr>
          <w:p>
            <w:pPr>
              <w:spacing w:after="0"/>
              <w:rPr>
                <w:sz w:val="17"/>
                <w:szCs w:val="17"/>
                <w:color w:val="auto"/>
              </w:rPr>
            </w:pPr>
          </w:p>
        </w:tc>
        <w:tc>
          <w:tcPr>
            <w:tcW w:w="140" w:type="dxa"/>
            <w:vAlign w:val="bottom"/>
            <w:tcBorders>
              <w:bottom w:val="single" w:sz="8" w:color="auto"/>
            </w:tcBorders>
            <w:shd w:val="clear" w:color="auto" w:fill="43C0B9"/>
          </w:tcPr>
          <w:p>
            <w:pPr>
              <w:spacing w:after="0"/>
              <w:rPr>
                <w:sz w:val="17"/>
                <w:szCs w:val="17"/>
                <w:color w:val="auto"/>
              </w:rPr>
            </w:pPr>
          </w:p>
        </w:tc>
        <w:tc>
          <w:tcPr>
            <w:tcW w:w="1000" w:type="dxa"/>
            <w:vAlign w:val="bottom"/>
            <w:tcBorders>
              <w:bottom w:val="single" w:sz="8" w:color="auto"/>
            </w:tcBorders>
            <w:shd w:val="clear" w:color="auto" w:fill="43C0B9"/>
          </w:tcPr>
          <w:p>
            <w:pPr>
              <w:jc w:val="right"/>
              <w:ind w:right="5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43C0B9"/>
          </w:tcPr>
          <w:p>
            <w:pPr>
              <w:spacing w:after="0"/>
              <w:rPr>
                <w:sz w:val="17"/>
                <w:szCs w:val="17"/>
                <w:color w:val="auto"/>
              </w:rPr>
            </w:pPr>
          </w:p>
        </w:tc>
        <w:tc>
          <w:tcPr>
            <w:tcW w:w="980" w:type="dxa"/>
            <w:vAlign w:val="bottom"/>
            <w:tcBorders>
              <w:bottom w:val="single" w:sz="8" w:color="auto"/>
            </w:tcBorders>
            <w:shd w:val="clear" w:color="auto" w:fill="43C0B9"/>
          </w:tcPr>
          <w:p>
            <w:pPr>
              <w:spacing w:after="0"/>
              <w:rPr>
                <w:sz w:val="17"/>
                <w:szCs w:val="17"/>
                <w:color w:val="auto"/>
              </w:rPr>
            </w:pPr>
          </w:p>
        </w:tc>
        <w:tc>
          <w:tcPr>
            <w:tcW w:w="2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3"/>
                <w:szCs w:val="13"/>
                <w:color w:val="auto"/>
                <w:w w:val="91"/>
              </w:rPr>
              <w:t>—</w:t>
            </w:r>
          </w:p>
        </w:tc>
        <w:tc>
          <w:tcPr>
            <w:tcW w:w="980" w:type="dxa"/>
            <w:vAlign w:val="bottom"/>
            <w:tcBorders>
              <w:bottom w:val="single" w:sz="8" w:color="auto"/>
            </w:tcBorders>
            <w:shd w:val="clear" w:color="auto" w:fill="43C0B9"/>
          </w:tcPr>
          <w:p>
            <w:pPr>
              <w:spacing w:after="0"/>
              <w:rPr>
                <w:sz w:val="17"/>
                <w:szCs w:val="17"/>
                <w:color w:val="auto"/>
              </w:rPr>
            </w:pPr>
          </w:p>
        </w:tc>
        <w:tc>
          <w:tcPr>
            <w:tcW w:w="660" w:type="dxa"/>
            <w:vAlign w:val="bottom"/>
            <w:tcBorders>
              <w:bottom w:val="single" w:sz="8" w:color="auto"/>
            </w:tcBorders>
            <w:shd w:val="clear" w:color="auto" w:fill="43C0B9"/>
          </w:tcPr>
          <w:p>
            <w:pPr>
              <w:jc w:val="right"/>
              <w:ind w:right="217"/>
              <w:spacing w:after="0"/>
              <w:rPr>
                <w:sz w:val="20"/>
                <w:szCs w:val="20"/>
                <w:color w:val="auto"/>
              </w:rPr>
            </w:pPr>
            <w:r>
              <w:rPr>
                <w:rFonts w:ascii="Arial" w:cs="Arial" w:eastAsia="Arial" w:hAnsi="Arial"/>
                <w:sz w:val="13"/>
                <w:szCs w:val="13"/>
                <w:color w:val="auto"/>
              </w:rPr>
              <w:t>0.4</w:t>
            </w:r>
          </w:p>
        </w:tc>
        <w:tc>
          <w:tcPr>
            <w:tcW w:w="640" w:type="dxa"/>
            <w:vAlign w:val="bottom"/>
            <w:tcBorders>
              <w:bottom w:val="single" w:sz="8" w:color="auto"/>
            </w:tcBorders>
            <w:shd w:val="clear" w:color="auto" w:fill="43C0B9"/>
          </w:tcPr>
          <w:p>
            <w:pPr>
              <w:spacing w:after="0"/>
              <w:rPr>
                <w:sz w:val="17"/>
                <w:szCs w:val="17"/>
                <w:color w:val="auto"/>
              </w:rPr>
            </w:pPr>
          </w:p>
        </w:tc>
        <w:tc>
          <w:tcPr>
            <w:tcW w:w="740" w:type="dxa"/>
            <w:vAlign w:val="bottom"/>
            <w:tcBorders>
              <w:bottom w:val="single" w:sz="8" w:color="auto"/>
            </w:tcBorders>
            <w:shd w:val="clear" w:color="auto" w:fill="43C0B9"/>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43C0B9"/>
          </w:tcPr>
          <w:p>
            <w:pPr>
              <w:spacing w:after="0"/>
              <w:rPr>
                <w:sz w:val="17"/>
                <w:szCs w:val="17"/>
                <w:color w:val="auto"/>
              </w:rPr>
            </w:pPr>
          </w:p>
        </w:tc>
        <w:tc>
          <w:tcPr>
            <w:tcW w:w="260" w:type="dxa"/>
            <w:vAlign w:val="bottom"/>
            <w:tcBorders>
              <w:bottom w:val="single" w:sz="8" w:color="auto"/>
            </w:tcBorders>
            <w:shd w:val="clear" w:color="auto" w:fill="43C0B9"/>
          </w:tcPr>
          <w:p>
            <w:pPr>
              <w:spacing w:after="0"/>
              <w:rPr>
                <w:sz w:val="17"/>
                <w:szCs w:val="17"/>
                <w:color w:val="auto"/>
              </w:rPr>
            </w:pPr>
          </w:p>
        </w:tc>
        <w:tc>
          <w:tcPr>
            <w:tcW w:w="9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43C0B9"/>
          </w:tcPr>
          <w:p>
            <w:pPr>
              <w:spacing w:after="0"/>
              <w:rPr>
                <w:sz w:val="17"/>
                <w:szCs w:val="17"/>
                <w:color w:val="auto"/>
              </w:rPr>
            </w:pPr>
          </w:p>
        </w:tc>
        <w:tc>
          <w:tcPr>
            <w:tcW w:w="200" w:type="dxa"/>
            <w:vAlign w:val="bottom"/>
            <w:tcBorders>
              <w:bottom w:val="single" w:sz="8" w:color="auto"/>
            </w:tcBorders>
            <w:shd w:val="clear" w:color="auto" w:fill="43C0B9"/>
          </w:tcPr>
          <w:p>
            <w:pPr>
              <w:spacing w:after="0"/>
              <w:rPr>
                <w:sz w:val="17"/>
                <w:szCs w:val="17"/>
                <w:color w:val="auto"/>
              </w:rPr>
            </w:pPr>
          </w:p>
        </w:tc>
        <w:tc>
          <w:tcPr>
            <w:tcW w:w="1020" w:type="dxa"/>
            <w:vAlign w:val="bottom"/>
            <w:tcBorders>
              <w:bottom w:val="single" w:sz="8" w:color="auto"/>
            </w:tcBorders>
            <w:gridSpan w:val="2"/>
            <w:shd w:val="clear" w:color="auto" w:fill="43C0B9"/>
          </w:tcPr>
          <w:p>
            <w:pPr>
              <w:jc w:val="right"/>
              <w:ind w:right="60"/>
              <w:spacing w:after="0"/>
              <w:rPr>
                <w:sz w:val="20"/>
                <w:szCs w:val="20"/>
                <w:color w:val="auto"/>
              </w:rPr>
            </w:pPr>
            <w:r>
              <w:rPr>
                <w:rFonts w:ascii="Arial" w:cs="Arial" w:eastAsia="Arial" w:hAnsi="Arial"/>
                <w:sz w:val="13"/>
                <w:szCs w:val="13"/>
                <w:color w:val="auto"/>
              </w:rPr>
              <w:t>—</w:t>
            </w:r>
          </w:p>
        </w:tc>
      </w:tr>
      <w:tr>
        <w:trPr>
          <w:trHeight w:val="196"/>
        </w:trPr>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3"/>
          </w:tcPr>
          <w:p>
            <w:pPr>
              <w:spacing w:after="0"/>
              <w:rPr>
                <w:sz w:val="17"/>
                <w:szCs w:val="17"/>
                <w:color w:val="auto"/>
              </w:rPr>
            </w:pPr>
          </w:p>
        </w:tc>
        <w:tc>
          <w:tcPr>
            <w:tcW w:w="244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3"/>
        </w:trPr>
        <w:tc>
          <w:tcPr>
            <w:tcW w:w="182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240" w:type="dxa"/>
            <w:vAlign w:val="bottom"/>
            <w:shd w:val="clear" w:color="auto" w:fill="232F84"/>
          </w:tcPr>
          <w:p>
            <w:pPr>
              <w:spacing w:after="0"/>
              <w:rPr>
                <w:sz w:val="15"/>
                <w:szCs w:val="15"/>
                <w:color w:val="auto"/>
              </w:rPr>
            </w:pPr>
          </w:p>
        </w:tc>
        <w:tc>
          <w:tcPr>
            <w:tcW w:w="140" w:type="dxa"/>
            <w:vAlign w:val="bottom"/>
            <w:shd w:val="clear" w:color="auto" w:fill="232F84"/>
          </w:tcPr>
          <w:p>
            <w:pPr>
              <w:spacing w:after="0"/>
              <w:rPr>
                <w:sz w:val="15"/>
                <w:szCs w:val="15"/>
                <w:color w:val="auto"/>
              </w:rPr>
            </w:pPr>
          </w:p>
        </w:tc>
        <w:tc>
          <w:tcPr>
            <w:tcW w:w="1000" w:type="dxa"/>
            <w:vAlign w:val="bottom"/>
            <w:shd w:val="clear" w:color="auto" w:fill="232F84"/>
          </w:tcPr>
          <w:p>
            <w:pPr>
              <w:spacing w:after="0"/>
              <w:rPr>
                <w:sz w:val="15"/>
                <w:szCs w:val="15"/>
                <w:color w:val="auto"/>
              </w:rPr>
            </w:pPr>
          </w:p>
        </w:tc>
        <w:tc>
          <w:tcPr>
            <w:tcW w:w="180" w:type="dxa"/>
            <w:vAlign w:val="bottom"/>
            <w:shd w:val="clear" w:color="auto" w:fill="232F84"/>
          </w:tcPr>
          <w:p>
            <w:pPr>
              <w:spacing w:after="0"/>
              <w:rPr>
                <w:sz w:val="15"/>
                <w:szCs w:val="15"/>
                <w:color w:val="auto"/>
              </w:rPr>
            </w:pPr>
          </w:p>
        </w:tc>
        <w:tc>
          <w:tcPr>
            <w:tcW w:w="4600" w:type="dxa"/>
            <w:vAlign w:val="bottom"/>
            <w:gridSpan w:val="8"/>
            <w:shd w:val="clear" w:color="auto" w:fill="232F84"/>
          </w:tcPr>
          <w:p>
            <w:pPr>
              <w:jc w:val="right"/>
              <w:ind w:right="137"/>
              <w:spacing w:after="0"/>
              <w:rPr>
                <w:sz w:val="20"/>
                <w:szCs w:val="20"/>
                <w:color w:val="auto"/>
              </w:rPr>
            </w:pPr>
            <w:r>
              <w:rPr>
                <w:rFonts w:ascii="Arial" w:cs="Arial" w:eastAsia="Arial" w:hAnsi="Arial"/>
                <w:sz w:val="13"/>
                <w:szCs w:val="13"/>
                <w:b w:val="1"/>
                <w:bCs w:val="1"/>
                <w:color w:val="FFFFFF"/>
                <w:w w:val="99"/>
              </w:rPr>
              <w:t>Condensed Consolidated Statements of Comprehensive Income (Loss)</w:t>
            </w:r>
          </w:p>
        </w:tc>
        <w:tc>
          <w:tcPr>
            <w:tcW w:w="940" w:type="dxa"/>
            <w:vAlign w:val="bottom"/>
            <w:shd w:val="clear" w:color="auto" w:fill="232F84"/>
          </w:tcPr>
          <w:p>
            <w:pPr>
              <w:spacing w:after="0"/>
              <w:rPr>
                <w:sz w:val="15"/>
                <w:szCs w:val="15"/>
                <w:color w:val="auto"/>
              </w:rPr>
            </w:pPr>
          </w:p>
        </w:tc>
        <w:tc>
          <w:tcPr>
            <w:tcW w:w="240" w:type="dxa"/>
            <w:vAlign w:val="bottom"/>
            <w:shd w:val="clear" w:color="auto" w:fill="232F84"/>
          </w:tcPr>
          <w:p>
            <w:pPr>
              <w:spacing w:after="0"/>
              <w:rPr>
                <w:sz w:val="15"/>
                <w:szCs w:val="15"/>
                <w:color w:val="auto"/>
              </w:rPr>
            </w:pPr>
          </w:p>
        </w:tc>
        <w:tc>
          <w:tcPr>
            <w:tcW w:w="200" w:type="dxa"/>
            <w:vAlign w:val="bottom"/>
            <w:shd w:val="clear" w:color="auto" w:fill="232F84"/>
          </w:tcPr>
          <w:p>
            <w:pPr>
              <w:spacing w:after="0"/>
              <w:rPr>
                <w:sz w:val="15"/>
                <w:szCs w:val="15"/>
                <w:color w:val="auto"/>
              </w:rPr>
            </w:pPr>
          </w:p>
        </w:tc>
        <w:tc>
          <w:tcPr>
            <w:tcW w:w="1000" w:type="dxa"/>
            <w:vAlign w:val="bottom"/>
            <w:shd w:val="clear" w:color="auto" w:fill="232F84"/>
          </w:tcPr>
          <w:p>
            <w:pPr>
              <w:spacing w:after="0"/>
              <w:rPr>
                <w:sz w:val="15"/>
                <w:szCs w:val="15"/>
                <w:color w:val="auto"/>
              </w:rPr>
            </w:pPr>
          </w:p>
        </w:tc>
        <w:tc>
          <w:tcPr>
            <w:tcW w:w="20" w:type="dxa"/>
            <w:vAlign w:val="bottom"/>
          </w:tcPr>
          <w:p>
            <w:pPr>
              <w:spacing w:after="0"/>
              <w:rPr>
                <w:sz w:val="15"/>
                <w:szCs w:val="15"/>
                <w:color w:val="auto"/>
              </w:rPr>
            </w:pPr>
          </w:p>
        </w:tc>
      </w:tr>
      <w:tr>
        <w:trPr>
          <w:trHeight w:val="36"/>
        </w:trPr>
        <w:tc>
          <w:tcPr>
            <w:tcW w:w="1820" w:type="dxa"/>
            <w:vAlign w:val="bottom"/>
            <w:shd w:val="clear" w:color="auto" w:fill="232F84"/>
          </w:tcPr>
          <w:p>
            <w:pPr>
              <w:spacing w:after="0"/>
              <w:rPr>
                <w:sz w:val="3"/>
                <w:szCs w:val="3"/>
                <w:color w:val="auto"/>
              </w:rPr>
            </w:pPr>
          </w:p>
        </w:tc>
        <w:tc>
          <w:tcPr>
            <w:tcW w:w="280" w:type="dxa"/>
            <w:vAlign w:val="bottom"/>
            <w:shd w:val="clear" w:color="auto" w:fill="232F84"/>
          </w:tcPr>
          <w:p>
            <w:pPr>
              <w:spacing w:after="0"/>
              <w:rPr>
                <w:sz w:val="3"/>
                <w:szCs w:val="3"/>
                <w:color w:val="auto"/>
              </w:rPr>
            </w:pPr>
          </w:p>
        </w:tc>
        <w:tc>
          <w:tcPr>
            <w:tcW w:w="580" w:type="dxa"/>
            <w:vAlign w:val="bottom"/>
            <w:shd w:val="clear" w:color="auto" w:fill="232F84"/>
          </w:tcPr>
          <w:p>
            <w:pPr>
              <w:spacing w:after="0"/>
              <w:rPr>
                <w:sz w:val="3"/>
                <w:szCs w:val="3"/>
                <w:color w:val="auto"/>
              </w:rPr>
            </w:pPr>
          </w:p>
        </w:tc>
        <w:tc>
          <w:tcPr>
            <w:tcW w:w="240" w:type="dxa"/>
            <w:vAlign w:val="bottom"/>
            <w:shd w:val="clear" w:color="auto" w:fill="232F84"/>
          </w:tcPr>
          <w:p>
            <w:pPr>
              <w:spacing w:after="0"/>
              <w:rPr>
                <w:sz w:val="3"/>
                <w:szCs w:val="3"/>
                <w:color w:val="auto"/>
              </w:rPr>
            </w:pPr>
          </w:p>
        </w:tc>
        <w:tc>
          <w:tcPr>
            <w:tcW w:w="140" w:type="dxa"/>
            <w:vAlign w:val="bottom"/>
            <w:shd w:val="clear" w:color="auto" w:fill="232F84"/>
          </w:tcPr>
          <w:p>
            <w:pPr>
              <w:spacing w:after="0"/>
              <w:rPr>
                <w:sz w:val="3"/>
                <w:szCs w:val="3"/>
                <w:color w:val="auto"/>
              </w:rPr>
            </w:pPr>
          </w:p>
        </w:tc>
        <w:tc>
          <w:tcPr>
            <w:tcW w:w="1000" w:type="dxa"/>
            <w:vAlign w:val="bottom"/>
            <w:shd w:val="clear" w:color="auto" w:fill="232F84"/>
          </w:tcPr>
          <w:p>
            <w:pPr>
              <w:spacing w:after="0"/>
              <w:rPr>
                <w:sz w:val="3"/>
                <w:szCs w:val="3"/>
                <w:color w:val="auto"/>
              </w:rPr>
            </w:pPr>
          </w:p>
        </w:tc>
        <w:tc>
          <w:tcPr>
            <w:tcW w:w="180" w:type="dxa"/>
            <w:vAlign w:val="bottom"/>
            <w:shd w:val="clear" w:color="auto" w:fill="232F84"/>
          </w:tcPr>
          <w:p>
            <w:pPr>
              <w:spacing w:after="0"/>
              <w:rPr>
                <w:sz w:val="3"/>
                <w:szCs w:val="3"/>
                <w:color w:val="auto"/>
              </w:rPr>
            </w:pPr>
          </w:p>
        </w:tc>
        <w:tc>
          <w:tcPr>
            <w:tcW w:w="980" w:type="dxa"/>
            <w:vAlign w:val="bottom"/>
            <w:shd w:val="clear" w:color="auto" w:fill="232F84"/>
          </w:tcPr>
          <w:p>
            <w:pPr>
              <w:spacing w:after="0"/>
              <w:rPr>
                <w:sz w:val="3"/>
                <w:szCs w:val="3"/>
                <w:color w:val="auto"/>
              </w:rPr>
            </w:pPr>
          </w:p>
        </w:tc>
        <w:tc>
          <w:tcPr>
            <w:tcW w:w="200" w:type="dxa"/>
            <w:vAlign w:val="bottom"/>
            <w:shd w:val="clear" w:color="auto" w:fill="232F84"/>
          </w:tcPr>
          <w:p>
            <w:pPr>
              <w:spacing w:after="0"/>
              <w:rPr>
                <w:sz w:val="3"/>
                <w:szCs w:val="3"/>
                <w:color w:val="auto"/>
              </w:rPr>
            </w:pPr>
          </w:p>
        </w:tc>
        <w:tc>
          <w:tcPr>
            <w:tcW w:w="980" w:type="dxa"/>
            <w:vAlign w:val="bottom"/>
            <w:shd w:val="clear" w:color="auto" w:fill="232F84"/>
          </w:tcPr>
          <w:p>
            <w:pPr>
              <w:spacing w:after="0"/>
              <w:rPr>
                <w:sz w:val="3"/>
                <w:szCs w:val="3"/>
                <w:color w:val="auto"/>
              </w:rPr>
            </w:pPr>
          </w:p>
        </w:tc>
        <w:tc>
          <w:tcPr>
            <w:tcW w:w="660" w:type="dxa"/>
            <w:vAlign w:val="bottom"/>
            <w:shd w:val="clear" w:color="auto" w:fill="232F84"/>
          </w:tcPr>
          <w:p>
            <w:pPr>
              <w:spacing w:after="0"/>
              <w:rPr>
                <w:sz w:val="3"/>
                <w:szCs w:val="3"/>
                <w:color w:val="auto"/>
              </w:rPr>
            </w:pPr>
          </w:p>
        </w:tc>
        <w:tc>
          <w:tcPr>
            <w:tcW w:w="640" w:type="dxa"/>
            <w:vAlign w:val="bottom"/>
            <w:shd w:val="clear" w:color="auto" w:fill="232F84"/>
          </w:tcPr>
          <w:p>
            <w:pPr>
              <w:spacing w:after="0"/>
              <w:rPr>
                <w:sz w:val="3"/>
                <w:szCs w:val="3"/>
                <w:color w:val="auto"/>
              </w:rPr>
            </w:pPr>
          </w:p>
        </w:tc>
        <w:tc>
          <w:tcPr>
            <w:tcW w:w="740" w:type="dxa"/>
            <w:vAlign w:val="bottom"/>
            <w:shd w:val="clear" w:color="auto" w:fill="232F84"/>
          </w:tcPr>
          <w:p>
            <w:pPr>
              <w:spacing w:after="0"/>
              <w:rPr>
                <w:sz w:val="3"/>
                <w:szCs w:val="3"/>
                <w:color w:val="auto"/>
              </w:rPr>
            </w:pPr>
          </w:p>
        </w:tc>
        <w:tc>
          <w:tcPr>
            <w:tcW w:w="140" w:type="dxa"/>
            <w:vAlign w:val="bottom"/>
            <w:shd w:val="clear" w:color="auto" w:fill="232F84"/>
          </w:tcPr>
          <w:p>
            <w:pPr>
              <w:spacing w:after="0"/>
              <w:rPr>
                <w:sz w:val="3"/>
                <w:szCs w:val="3"/>
                <w:color w:val="auto"/>
              </w:rPr>
            </w:pPr>
          </w:p>
        </w:tc>
        <w:tc>
          <w:tcPr>
            <w:tcW w:w="260" w:type="dxa"/>
            <w:vAlign w:val="bottom"/>
            <w:shd w:val="clear" w:color="auto" w:fill="232F84"/>
          </w:tcPr>
          <w:p>
            <w:pPr>
              <w:spacing w:after="0"/>
              <w:rPr>
                <w:sz w:val="3"/>
                <w:szCs w:val="3"/>
                <w:color w:val="auto"/>
              </w:rPr>
            </w:pPr>
          </w:p>
        </w:tc>
        <w:tc>
          <w:tcPr>
            <w:tcW w:w="1180" w:type="dxa"/>
            <w:vAlign w:val="bottom"/>
            <w:gridSpan w:val="2"/>
            <w:shd w:val="clear" w:color="auto" w:fill="232F84"/>
          </w:tcPr>
          <w:p>
            <w:pPr>
              <w:spacing w:after="0"/>
              <w:rPr>
                <w:sz w:val="3"/>
                <w:szCs w:val="3"/>
                <w:color w:val="auto"/>
              </w:rPr>
            </w:pPr>
          </w:p>
        </w:tc>
        <w:tc>
          <w:tcPr>
            <w:tcW w:w="200" w:type="dxa"/>
            <w:vAlign w:val="bottom"/>
            <w:shd w:val="clear" w:color="auto" w:fill="232F84"/>
          </w:tcPr>
          <w:p>
            <w:pPr>
              <w:spacing w:after="0"/>
              <w:rPr>
                <w:sz w:val="3"/>
                <w:szCs w:val="3"/>
                <w:color w:val="auto"/>
              </w:rPr>
            </w:pPr>
          </w:p>
        </w:tc>
        <w:tc>
          <w:tcPr>
            <w:tcW w:w="1000" w:type="dxa"/>
            <w:vAlign w:val="bottom"/>
            <w:shd w:val="clear" w:color="auto" w:fill="232F84"/>
          </w:tcPr>
          <w:p>
            <w:pPr>
              <w:spacing w:after="0"/>
              <w:rPr>
                <w:sz w:val="3"/>
                <w:szCs w:val="3"/>
                <w:color w:val="auto"/>
              </w:rPr>
            </w:pPr>
          </w:p>
        </w:tc>
        <w:tc>
          <w:tcPr>
            <w:tcW w:w="20" w:type="dxa"/>
            <w:vAlign w:val="bottom"/>
          </w:tcPr>
          <w:p>
            <w:pPr>
              <w:spacing w:after="0"/>
              <w:rPr>
                <w:sz w:val="3"/>
                <w:szCs w:val="3"/>
                <w:color w:val="auto"/>
              </w:rPr>
            </w:pPr>
          </w:p>
        </w:tc>
      </w:tr>
      <w:tr>
        <w:trPr>
          <w:trHeight w:val="160"/>
        </w:trPr>
        <w:tc>
          <w:tcPr>
            <w:tcW w:w="1820" w:type="dxa"/>
            <w:vAlign w:val="bottom"/>
            <w:shd w:val="clear" w:color="auto" w:fill="232F84"/>
          </w:tcPr>
          <w:p>
            <w:pPr>
              <w:spacing w:after="0"/>
              <w:rPr>
                <w:sz w:val="13"/>
                <w:szCs w:val="13"/>
                <w:color w:val="auto"/>
              </w:rPr>
            </w:pPr>
          </w:p>
        </w:tc>
        <w:tc>
          <w:tcPr>
            <w:tcW w:w="280" w:type="dxa"/>
            <w:vAlign w:val="bottom"/>
            <w:shd w:val="clear" w:color="auto" w:fill="232F84"/>
          </w:tcPr>
          <w:p>
            <w:pPr>
              <w:spacing w:after="0"/>
              <w:rPr>
                <w:sz w:val="13"/>
                <w:szCs w:val="13"/>
                <w:color w:val="auto"/>
              </w:rPr>
            </w:pPr>
          </w:p>
        </w:tc>
        <w:tc>
          <w:tcPr>
            <w:tcW w:w="580" w:type="dxa"/>
            <w:vAlign w:val="bottom"/>
            <w:shd w:val="clear" w:color="auto" w:fill="232F84"/>
          </w:tcPr>
          <w:p>
            <w:pPr>
              <w:spacing w:after="0"/>
              <w:rPr>
                <w:sz w:val="13"/>
                <w:szCs w:val="13"/>
                <w:color w:val="auto"/>
              </w:rPr>
            </w:pPr>
          </w:p>
        </w:tc>
        <w:tc>
          <w:tcPr>
            <w:tcW w:w="240" w:type="dxa"/>
            <w:vAlign w:val="bottom"/>
            <w:shd w:val="clear" w:color="auto" w:fill="232F84"/>
          </w:tcPr>
          <w:p>
            <w:pPr>
              <w:spacing w:after="0"/>
              <w:rPr>
                <w:sz w:val="13"/>
                <w:szCs w:val="13"/>
                <w:color w:val="auto"/>
              </w:rPr>
            </w:pPr>
          </w:p>
        </w:tc>
        <w:tc>
          <w:tcPr>
            <w:tcW w:w="140" w:type="dxa"/>
            <w:vAlign w:val="bottom"/>
            <w:shd w:val="clear" w:color="auto" w:fill="232F84"/>
          </w:tcPr>
          <w:p>
            <w:pPr>
              <w:spacing w:after="0"/>
              <w:rPr>
                <w:sz w:val="13"/>
                <w:szCs w:val="13"/>
                <w:color w:val="auto"/>
              </w:rPr>
            </w:pPr>
          </w:p>
        </w:tc>
        <w:tc>
          <w:tcPr>
            <w:tcW w:w="1000" w:type="dxa"/>
            <w:vAlign w:val="bottom"/>
            <w:shd w:val="clear" w:color="auto" w:fill="232F84"/>
          </w:tcPr>
          <w:p>
            <w:pPr>
              <w:spacing w:after="0"/>
              <w:rPr>
                <w:sz w:val="13"/>
                <w:szCs w:val="13"/>
                <w:color w:val="auto"/>
              </w:rPr>
            </w:pPr>
          </w:p>
        </w:tc>
        <w:tc>
          <w:tcPr>
            <w:tcW w:w="180" w:type="dxa"/>
            <w:vAlign w:val="bottom"/>
            <w:shd w:val="clear" w:color="auto" w:fill="232F84"/>
          </w:tcPr>
          <w:p>
            <w:pPr>
              <w:spacing w:after="0"/>
              <w:rPr>
                <w:sz w:val="13"/>
                <w:szCs w:val="13"/>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w w:val="99"/>
              </w:rPr>
              <w:t>Selling, general</w:t>
            </w:r>
          </w:p>
        </w:tc>
        <w:tc>
          <w:tcPr>
            <w:tcW w:w="200" w:type="dxa"/>
            <w:vAlign w:val="bottom"/>
            <w:shd w:val="clear" w:color="auto" w:fill="232F84"/>
          </w:tcPr>
          <w:p>
            <w:pPr>
              <w:spacing w:after="0"/>
              <w:rPr>
                <w:sz w:val="13"/>
                <w:szCs w:val="13"/>
                <w:color w:val="auto"/>
              </w:rPr>
            </w:pPr>
          </w:p>
        </w:tc>
        <w:tc>
          <w:tcPr>
            <w:tcW w:w="980" w:type="dxa"/>
            <w:vAlign w:val="bottom"/>
            <w:shd w:val="clear" w:color="auto" w:fill="232F84"/>
          </w:tcPr>
          <w:p>
            <w:pPr>
              <w:spacing w:after="0"/>
              <w:rPr>
                <w:sz w:val="13"/>
                <w:szCs w:val="13"/>
                <w:color w:val="auto"/>
              </w:rPr>
            </w:pPr>
          </w:p>
        </w:tc>
        <w:tc>
          <w:tcPr>
            <w:tcW w:w="660" w:type="dxa"/>
            <w:vAlign w:val="bottom"/>
            <w:shd w:val="clear" w:color="auto" w:fill="232F84"/>
          </w:tcPr>
          <w:p>
            <w:pPr>
              <w:spacing w:after="0"/>
              <w:rPr>
                <w:sz w:val="13"/>
                <w:szCs w:val="13"/>
                <w:color w:val="auto"/>
              </w:rPr>
            </w:pPr>
          </w:p>
        </w:tc>
        <w:tc>
          <w:tcPr>
            <w:tcW w:w="640" w:type="dxa"/>
            <w:vAlign w:val="bottom"/>
            <w:shd w:val="clear" w:color="auto" w:fill="232F84"/>
          </w:tcPr>
          <w:p>
            <w:pPr>
              <w:spacing w:after="0"/>
              <w:rPr>
                <w:sz w:val="13"/>
                <w:szCs w:val="13"/>
                <w:color w:val="auto"/>
              </w:rPr>
            </w:pPr>
          </w:p>
        </w:tc>
        <w:tc>
          <w:tcPr>
            <w:tcW w:w="740" w:type="dxa"/>
            <w:vAlign w:val="bottom"/>
            <w:shd w:val="clear" w:color="auto" w:fill="232F84"/>
          </w:tcPr>
          <w:p>
            <w:pPr>
              <w:spacing w:after="0"/>
              <w:rPr>
                <w:sz w:val="13"/>
                <w:szCs w:val="13"/>
                <w:color w:val="auto"/>
              </w:rPr>
            </w:pPr>
          </w:p>
        </w:tc>
        <w:tc>
          <w:tcPr>
            <w:tcW w:w="140" w:type="dxa"/>
            <w:vAlign w:val="bottom"/>
            <w:shd w:val="clear" w:color="auto" w:fill="232F84"/>
          </w:tcPr>
          <w:p>
            <w:pPr>
              <w:spacing w:after="0"/>
              <w:rPr>
                <w:sz w:val="13"/>
                <w:szCs w:val="13"/>
                <w:color w:val="auto"/>
              </w:rPr>
            </w:pPr>
          </w:p>
        </w:tc>
        <w:tc>
          <w:tcPr>
            <w:tcW w:w="260" w:type="dxa"/>
            <w:vAlign w:val="bottom"/>
            <w:shd w:val="clear" w:color="auto" w:fill="232F84"/>
          </w:tcPr>
          <w:p>
            <w:pPr>
              <w:spacing w:after="0"/>
              <w:rPr>
                <w:sz w:val="13"/>
                <w:szCs w:val="13"/>
                <w:color w:val="auto"/>
              </w:rPr>
            </w:pPr>
          </w:p>
        </w:tc>
        <w:tc>
          <w:tcPr>
            <w:tcW w:w="1180" w:type="dxa"/>
            <w:vAlign w:val="bottom"/>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rPr>
              <w:t>Selling, general</w:t>
            </w:r>
          </w:p>
        </w:tc>
        <w:tc>
          <w:tcPr>
            <w:tcW w:w="200" w:type="dxa"/>
            <w:vAlign w:val="bottom"/>
            <w:shd w:val="clear" w:color="auto" w:fill="232F84"/>
          </w:tcPr>
          <w:p>
            <w:pPr>
              <w:spacing w:after="0"/>
              <w:rPr>
                <w:sz w:val="13"/>
                <w:szCs w:val="13"/>
                <w:color w:val="auto"/>
              </w:rPr>
            </w:pPr>
          </w:p>
        </w:tc>
        <w:tc>
          <w:tcPr>
            <w:tcW w:w="1000" w:type="dxa"/>
            <w:vAlign w:val="bottom"/>
            <w:shd w:val="clear" w:color="auto" w:fill="232F84"/>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1820" w:type="dxa"/>
            <w:vAlign w:val="bottom"/>
            <w:shd w:val="clear" w:color="auto" w:fill="232F84"/>
          </w:tcPr>
          <w:p>
            <w:pPr>
              <w:spacing w:after="0"/>
              <w:rPr>
                <w:sz w:val="12"/>
                <w:szCs w:val="12"/>
                <w:color w:val="auto"/>
              </w:rPr>
            </w:pPr>
          </w:p>
        </w:tc>
        <w:tc>
          <w:tcPr>
            <w:tcW w:w="280" w:type="dxa"/>
            <w:vAlign w:val="bottom"/>
            <w:shd w:val="clear" w:color="auto" w:fill="232F84"/>
          </w:tcPr>
          <w:p>
            <w:pPr>
              <w:spacing w:after="0"/>
              <w:rPr>
                <w:sz w:val="12"/>
                <w:szCs w:val="12"/>
                <w:color w:val="auto"/>
              </w:rPr>
            </w:pPr>
          </w:p>
        </w:tc>
        <w:tc>
          <w:tcPr>
            <w:tcW w:w="580" w:type="dxa"/>
            <w:vAlign w:val="bottom"/>
            <w:shd w:val="clear" w:color="auto" w:fill="232F84"/>
          </w:tcPr>
          <w:p>
            <w:pPr>
              <w:spacing w:after="0"/>
              <w:rPr>
                <w:sz w:val="12"/>
                <w:szCs w:val="12"/>
                <w:color w:val="auto"/>
              </w:rPr>
            </w:pPr>
          </w:p>
        </w:tc>
        <w:tc>
          <w:tcPr>
            <w:tcW w:w="240" w:type="dxa"/>
            <w:vAlign w:val="bottom"/>
            <w:shd w:val="clear" w:color="auto" w:fill="232F84"/>
          </w:tcPr>
          <w:p>
            <w:pPr>
              <w:spacing w:after="0"/>
              <w:rPr>
                <w:sz w:val="12"/>
                <w:szCs w:val="12"/>
                <w:color w:val="auto"/>
              </w:rPr>
            </w:pPr>
          </w:p>
        </w:tc>
        <w:tc>
          <w:tcPr>
            <w:tcW w:w="140" w:type="dxa"/>
            <w:vAlign w:val="bottom"/>
            <w:shd w:val="clear" w:color="auto" w:fill="232F84"/>
          </w:tcPr>
          <w:p>
            <w:pPr>
              <w:spacing w:after="0"/>
              <w:rPr>
                <w:sz w:val="12"/>
                <w:szCs w:val="12"/>
                <w:color w:val="auto"/>
              </w:rPr>
            </w:pPr>
          </w:p>
        </w:tc>
        <w:tc>
          <w:tcPr>
            <w:tcW w:w="1000" w:type="dxa"/>
            <w:vAlign w:val="bottom"/>
            <w:shd w:val="clear" w:color="auto" w:fill="232F84"/>
          </w:tcPr>
          <w:p>
            <w:pPr>
              <w:spacing w:after="0"/>
              <w:rPr>
                <w:sz w:val="12"/>
                <w:szCs w:val="12"/>
                <w:color w:val="auto"/>
              </w:rPr>
            </w:pPr>
          </w:p>
        </w:tc>
        <w:tc>
          <w:tcPr>
            <w:tcW w:w="180" w:type="dxa"/>
            <w:vAlign w:val="bottom"/>
            <w:shd w:val="clear" w:color="auto" w:fill="232F84"/>
          </w:tcPr>
          <w:p>
            <w:pPr>
              <w:spacing w:after="0"/>
              <w:rPr>
                <w:sz w:val="12"/>
                <w:szCs w:val="12"/>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rPr>
              <w:t>and</w:t>
            </w:r>
          </w:p>
        </w:tc>
        <w:tc>
          <w:tcPr>
            <w:tcW w:w="200" w:type="dxa"/>
            <w:vAlign w:val="bottom"/>
            <w:shd w:val="clear" w:color="auto" w:fill="232F84"/>
          </w:tcPr>
          <w:p>
            <w:pPr>
              <w:spacing w:after="0"/>
              <w:rPr>
                <w:sz w:val="12"/>
                <w:szCs w:val="12"/>
                <w:color w:val="auto"/>
              </w:rPr>
            </w:pPr>
          </w:p>
        </w:tc>
        <w:tc>
          <w:tcPr>
            <w:tcW w:w="980" w:type="dxa"/>
            <w:vAlign w:val="bottom"/>
            <w:shd w:val="clear" w:color="auto" w:fill="232F84"/>
          </w:tcPr>
          <w:p>
            <w:pPr>
              <w:spacing w:after="0"/>
              <w:rPr>
                <w:sz w:val="12"/>
                <w:szCs w:val="12"/>
                <w:color w:val="auto"/>
              </w:rPr>
            </w:pPr>
          </w:p>
        </w:tc>
        <w:tc>
          <w:tcPr>
            <w:tcW w:w="660" w:type="dxa"/>
            <w:vAlign w:val="bottom"/>
            <w:shd w:val="clear" w:color="auto" w:fill="232F84"/>
          </w:tcPr>
          <w:p>
            <w:pPr>
              <w:spacing w:after="0"/>
              <w:rPr>
                <w:sz w:val="12"/>
                <w:szCs w:val="12"/>
                <w:color w:val="auto"/>
              </w:rPr>
            </w:pPr>
          </w:p>
        </w:tc>
        <w:tc>
          <w:tcPr>
            <w:tcW w:w="640" w:type="dxa"/>
            <w:vAlign w:val="bottom"/>
            <w:shd w:val="clear" w:color="auto" w:fill="232F84"/>
          </w:tcPr>
          <w:p>
            <w:pPr>
              <w:spacing w:after="0"/>
              <w:rPr>
                <w:sz w:val="12"/>
                <w:szCs w:val="12"/>
                <w:color w:val="auto"/>
              </w:rPr>
            </w:pPr>
          </w:p>
        </w:tc>
        <w:tc>
          <w:tcPr>
            <w:tcW w:w="740" w:type="dxa"/>
            <w:vAlign w:val="bottom"/>
            <w:shd w:val="clear" w:color="auto" w:fill="232F84"/>
          </w:tcPr>
          <w:p>
            <w:pPr>
              <w:spacing w:after="0"/>
              <w:rPr>
                <w:sz w:val="12"/>
                <w:szCs w:val="12"/>
                <w:color w:val="auto"/>
              </w:rPr>
            </w:pPr>
          </w:p>
        </w:tc>
        <w:tc>
          <w:tcPr>
            <w:tcW w:w="140" w:type="dxa"/>
            <w:vAlign w:val="bottom"/>
            <w:shd w:val="clear" w:color="auto" w:fill="232F84"/>
          </w:tcPr>
          <w:p>
            <w:pPr>
              <w:spacing w:after="0"/>
              <w:rPr>
                <w:sz w:val="12"/>
                <w:szCs w:val="12"/>
                <w:color w:val="auto"/>
              </w:rPr>
            </w:pPr>
          </w:p>
        </w:tc>
        <w:tc>
          <w:tcPr>
            <w:tcW w:w="260" w:type="dxa"/>
            <w:vAlign w:val="bottom"/>
            <w:shd w:val="clear" w:color="auto" w:fill="232F84"/>
          </w:tcPr>
          <w:p>
            <w:pPr>
              <w:spacing w:after="0"/>
              <w:rPr>
                <w:sz w:val="12"/>
                <w:szCs w:val="12"/>
                <w:color w:val="auto"/>
              </w:rPr>
            </w:pPr>
          </w:p>
        </w:tc>
        <w:tc>
          <w:tcPr>
            <w:tcW w:w="940" w:type="dxa"/>
            <w:vAlign w:val="bottom"/>
            <w:shd w:val="clear" w:color="auto" w:fill="232F84"/>
          </w:tcPr>
          <w:p>
            <w:pPr>
              <w:spacing w:after="0"/>
              <w:rPr>
                <w:sz w:val="12"/>
                <w:szCs w:val="12"/>
                <w:color w:val="auto"/>
              </w:rPr>
            </w:pPr>
          </w:p>
        </w:tc>
        <w:tc>
          <w:tcPr>
            <w:tcW w:w="24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w w:val="86"/>
              </w:rPr>
              <w:t>and</w:t>
            </w:r>
          </w:p>
        </w:tc>
        <w:tc>
          <w:tcPr>
            <w:tcW w:w="200" w:type="dxa"/>
            <w:vAlign w:val="bottom"/>
            <w:shd w:val="clear" w:color="auto" w:fill="232F84"/>
          </w:tcPr>
          <w:p>
            <w:pPr>
              <w:spacing w:after="0"/>
              <w:rPr>
                <w:sz w:val="12"/>
                <w:szCs w:val="12"/>
                <w:color w:val="auto"/>
              </w:rPr>
            </w:pPr>
          </w:p>
        </w:tc>
        <w:tc>
          <w:tcPr>
            <w:tcW w:w="1000" w:type="dxa"/>
            <w:vAlign w:val="bottom"/>
            <w:shd w:val="clear" w:color="auto" w:fill="232F84"/>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820" w:type="dxa"/>
            <w:vAlign w:val="bottom"/>
            <w:shd w:val="clear" w:color="auto" w:fill="232F84"/>
          </w:tcPr>
          <w:p>
            <w:pPr>
              <w:spacing w:after="0"/>
              <w:rPr>
                <w:sz w:val="12"/>
                <w:szCs w:val="12"/>
                <w:color w:val="auto"/>
              </w:rPr>
            </w:pPr>
          </w:p>
        </w:tc>
        <w:tc>
          <w:tcPr>
            <w:tcW w:w="280" w:type="dxa"/>
            <w:vAlign w:val="bottom"/>
            <w:shd w:val="clear" w:color="auto" w:fill="232F84"/>
          </w:tcPr>
          <w:p>
            <w:pPr>
              <w:spacing w:after="0"/>
              <w:rPr>
                <w:sz w:val="12"/>
                <w:szCs w:val="12"/>
                <w:color w:val="auto"/>
              </w:rPr>
            </w:pPr>
          </w:p>
        </w:tc>
        <w:tc>
          <w:tcPr>
            <w:tcW w:w="580" w:type="dxa"/>
            <w:vAlign w:val="bottom"/>
            <w:shd w:val="clear" w:color="auto" w:fill="232F84"/>
          </w:tcPr>
          <w:p>
            <w:pPr>
              <w:spacing w:after="0"/>
              <w:rPr>
                <w:sz w:val="12"/>
                <w:szCs w:val="12"/>
                <w:color w:val="auto"/>
              </w:rPr>
            </w:pPr>
          </w:p>
        </w:tc>
        <w:tc>
          <w:tcPr>
            <w:tcW w:w="240" w:type="dxa"/>
            <w:vAlign w:val="bottom"/>
            <w:shd w:val="clear" w:color="auto" w:fill="232F84"/>
          </w:tcPr>
          <w:p>
            <w:pPr>
              <w:spacing w:after="0"/>
              <w:rPr>
                <w:sz w:val="12"/>
                <w:szCs w:val="12"/>
                <w:color w:val="auto"/>
              </w:rPr>
            </w:pPr>
          </w:p>
        </w:tc>
        <w:tc>
          <w:tcPr>
            <w:tcW w:w="140" w:type="dxa"/>
            <w:vAlign w:val="bottom"/>
            <w:shd w:val="clear" w:color="auto" w:fill="232F84"/>
          </w:tcPr>
          <w:p>
            <w:pPr>
              <w:spacing w:after="0"/>
              <w:rPr>
                <w:sz w:val="12"/>
                <w:szCs w:val="12"/>
                <w:color w:val="auto"/>
              </w:rPr>
            </w:pPr>
          </w:p>
        </w:tc>
        <w:tc>
          <w:tcPr>
            <w:tcW w:w="1000" w:type="dxa"/>
            <w:vAlign w:val="bottom"/>
            <w:shd w:val="clear" w:color="auto" w:fill="232F84"/>
          </w:tcPr>
          <w:p>
            <w:pPr>
              <w:spacing w:after="0"/>
              <w:rPr>
                <w:sz w:val="12"/>
                <w:szCs w:val="12"/>
                <w:color w:val="auto"/>
              </w:rPr>
            </w:pPr>
          </w:p>
        </w:tc>
        <w:tc>
          <w:tcPr>
            <w:tcW w:w="180" w:type="dxa"/>
            <w:vAlign w:val="bottom"/>
            <w:shd w:val="clear" w:color="auto" w:fill="232F84"/>
          </w:tcPr>
          <w:p>
            <w:pPr>
              <w:spacing w:after="0"/>
              <w:rPr>
                <w:sz w:val="12"/>
                <w:szCs w:val="12"/>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rPr>
              <w:t>administrative</w:t>
            </w:r>
          </w:p>
        </w:tc>
        <w:tc>
          <w:tcPr>
            <w:tcW w:w="200" w:type="dxa"/>
            <w:vAlign w:val="bottom"/>
            <w:shd w:val="clear" w:color="auto" w:fill="232F84"/>
          </w:tcPr>
          <w:p>
            <w:pPr>
              <w:spacing w:after="0"/>
              <w:rPr>
                <w:sz w:val="12"/>
                <w:szCs w:val="12"/>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w w:val="94"/>
              </w:rPr>
              <w:t>Other (expense)</w:t>
            </w:r>
          </w:p>
        </w:tc>
        <w:tc>
          <w:tcPr>
            <w:tcW w:w="660" w:type="dxa"/>
            <w:vAlign w:val="bottom"/>
            <w:shd w:val="clear" w:color="auto" w:fill="232F84"/>
          </w:tcPr>
          <w:p>
            <w:pPr>
              <w:spacing w:after="0"/>
              <w:rPr>
                <w:sz w:val="12"/>
                <w:szCs w:val="12"/>
                <w:color w:val="auto"/>
              </w:rPr>
            </w:pPr>
          </w:p>
        </w:tc>
        <w:tc>
          <w:tcPr>
            <w:tcW w:w="640" w:type="dxa"/>
            <w:vAlign w:val="bottom"/>
            <w:shd w:val="clear" w:color="auto" w:fill="232F84"/>
          </w:tcPr>
          <w:p>
            <w:pPr>
              <w:spacing w:after="0"/>
              <w:rPr>
                <w:sz w:val="12"/>
                <w:szCs w:val="12"/>
                <w:color w:val="auto"/>
              </w:rPr>
            </w:pPr>
          </w:p>
        </w:tc>
        <w:tc>
          <w:tcPr>
            <w:tcW w:w="740" w:type="dxa"/>
            <w:vAlign w:val="bottom"/>
            <w:shd w:val="clear" w:color="auto" w:fill="232F84"/>
          </w:tcPr>
          <w:p>
            <w:pPr>
              <w:spacing w:after="0"/>
              <w:rPr>
                <w:sz w:val="12"/>
                <w:szCs w:val="12"/>
                <w:color w:val="auto"/>
              </w:rPr>
            </w:pPr>
          </w:p>
        </w:tc>
        <w:tc>
          <w:tcPr>
            <w:tcW w:w="140" w:type="dxa"/>
            <w:vAlign w:val="bottom"/>
            <w:shd w:val="clear" w:color="auto" w:fill="232F84"/>
          </w:tcPr>
          <w:p>
            <w:pPr>
              <w:spacing w:after="0"/>
              <w:rPr>
                <w:sz w:val="12"/>
                <w:szCs w:val="12"/>
                <w:color w:val="auto"/>
              </w:rPr>
            </w:pPr>
          </w:p>
        </w:tc>
        <w:tc>
          <w:tcPr>
            <w:tcW w:w="260" w:type="dxa"/>
            <w:vAlign w:val="bottom"/>
            <w:shd w:val="clear" w:color="auto" w:fill="232F84"/>
          </w:tcPr>
          <w:p>
            <w:pPr>
              <w:spacing w:after="0"/>
              <w:rPr>
                <w:sz w:val="12"/>
                <w:szCs w:val="12"/>
                <w:color w:val="auto"/>
              </w:rPr>
            </w:pPr>
          </w:p>
        </w:tc>
        <w:tc>
          <w:tcPr>
            <w:tcW w:w="1180" w:type="dxa"/>
            <w:vAlign w:val="bottom"/>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rPr>
              <w:t>administrative</w:t>
            </w:r>
          </w:p>
        </w:tc>
        <w:tc>
          <w:tcPr>
            <w:tcW w:w="200" w:type="dxa"/>
            <w:vAlign w:val="bottom"/>
            <w:shd w:val="clear" w:color="auto" w:fill="232F84"/>
          </w:tcPr>
          <w:p>
            <w:pPr>
              <w:spacing w:after="0"/>
              <w:rPr>
                <w:sz w:val="12"/>
                <w:szCs w:val="12"/>
                <w:color w:val="auto"/>
              </w:rPr>
            </w:pPr>
          </w:p>
        </w:tc>
        <w:tc>
          <w:tcPr>
            <w:tcW w:w="100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w w:val="96"/>
              </w:rPr>
              <w:t>Other (expense)</w:t>
            </w:r>
          </w:p>
        </w:tc>
        <w:tc>
          <w:tcPr>
            <w:tcW w:w="20" w:type="dxa"/>
            <w:vAlign w:val="bottom"/>
          </w:tcPr>
          <w:p>
            <w:pPr>
              <w:spacing w:after="0"/>
              <w:rPr>
                <w:sz w:val="12"/>
                <w:szCs w:val="12"/>
                <w:color w:val="auto"/>
              </w:rPr>
            </w:pPr>
          </w:p>
        </w:tc>
      </w:tr>
      <w:tr>
        <w:trPr>
          <w:trHeight w:val="168"/>
        </w:trPr>
        <w:tc>
          <w:tcPr>
            <w:tcW w:w="1820" w:type="dxa"/>
            <w:vAlign w:val="bottom"/>
            <w:shd w:val="clear" w:color="auto" w:fill="232F84"/>
          </w:tcPr>
          <w:p>
            <w:pPr>
              <w:spacing w:after="0"/>
              <w:rPr>
                <w:sz w:val="14"/>
                <w:szCs w:val="14"/>
                <w:color w:val="auto"/>
              </w:rPr>
            </w:pPr>
          </w:p>
        </w:tc>
        <w:tc>
          <w:tcPr>
            <w:tcW w:w="280" w:type="dxa"/>
            <w:vAlign w:val="bottom"/>
            <w:shd w:val="clear" w:color="auto" w:fill="232F84"/>
          </w:tcPr>
          <w:p>
            <w:pPr>
              <w:spacing w:after="0"/>
              <w:rPr>
                <w:sz w:val="14"/>
                <w:szCs w:val="14"/>
                <w:color w:val="auto"/>
              </w:rPr>
            </w:pPr>
          </w:p>
        </w:tc>
        <w:tc>
          <w:tcPr>
            <w:tcW w:w="820" w:type="dxa"/>
            <w:vAlign w:val="bottom"/>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rPr>
              <w:t>Net sales</w:t>
            </w:r>
          </w:p>
        </w:tc>
        <w:tc>
          <w:tcPr>
            <w:tcW w:w="140" w:type="dxa"/>
            <w:vAlign w:val="bottom"/>
            <w:shd w:val="clear" w:color="auto" w:fill="232F84"/>
          </w:tcPr>
          <w:p>
            <w:pPr>
              <w:spacing w:after="0"/>
              <w:rPr>
                <w:sz w:val="14"/>
                <w:szCs w:val="14"/>
                <w:color w:val="auto"/>
              </w:rPr>
            </w:pPr>
          </w:p>
        </w:tc>
        <w:tc>
          <w:tcPr>
            <w:tcW w:w="100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rPr>
              <w:t>Cost of sales</w:t>
            </w:r>
          </w:p>
        </w:tc>
        <w:tc>
          <w:tcPr>
            <w:tcW w:w="180" w:type="dxa"/>
            <w:vAlign w:val="bottom"/>
            <w:shd w:val="clear" w:color="auto" w:fill="232F84"/>
          </w:tcPr>
          <w:p>
            <w:pPr>
              <w:spacing w:after="0"/>
              <w:rPr>
                <w:sz w:val="14"/>
                <w:szCs w:val="14"/>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rPr>
              <w:t>expenses</w:t>
            </w:r>
          </w:p>
        </w:tc>
        <w:tc>
          <w:tcPr>
            <w:tcW w:w="200" w:type="dxa"/>
            <w:vAlign w:val="bottom"/>
            <w:shd w:val="clear" w:color="auto" w:fill="232F84"/>
          </w:tcPr>
          <w:p>
            <w:pPr>
              <w:spacing w:after="0"/>
              <w:rPr>
                <w:sz w:val="14"/>
                <w:szCs w:val="14"/>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rPr>
              <w:t>income, net</w:t>
            </w:r>
          </w:p>
        </w:tc>
        <w:tc>
          <w:tcPr>
            <w:tcW w:w="660" w:type="dxa"/>
            <w:vAlign w:val="bottom"/>
            <w:shd w:val="clear" w:color="auto" w:fill="232F84"/>
          </w:tcPr>
          <w:p>
            <w:pPr>
              <w:spacing w:after="0"/>
              <w:rPr>
                <w:sz w:val="14"/>
                <w:szCs w:val="14"/>
                <w:color w:val="auto"/>
              </w:rPr>
            </w:pPr>
          </w:p>
        </w:tc>
        <w:tc>
          <w:tcPr>
            <w:tcW w:w="640" w:type="dxa"/>
            <w:vAlign w:val="bottom"/>
            <w:shd w:val="clear" w:color="auto" w:fill="232F84"/>
          </w:tcPr>
          <w:p>
            <w:pPr>
              <w:ind w:left="40"/>
              <w:spacing w:after="0"/>
              <w:rPr>
                <w:sz w:val="20"/>
                <w:szCs w:val="20"/>
                <w:color w:val="auto"/>
              </w:rPr>
            </w:pPr>
            <w:r>
              <w:rPr>
                <w:rFonts w:ascii="Arial" w:cs="Arial" w:eastAsia="Arial" w:hAnsi="Arial"/>
                <w:sz w:val="13"/>
                <w:szCs w:val="13"/>
                <w:b w:val="1"/>
                <w:bCs w:val="1"/>
                <w:color w:val="FFFFFF"/>
              </w:rPr>
              <w:t>Net sales</w:t>
            </w:r>
          </w:p>
        </w:tc>
        <w:tc>
          <w:tcPr>
            <w:tcW w:w="1140" w:type="dxa"/>
            <w:vAlign w:val="bottom"/>
            <w:gridSpan w:val="3"/>
            <w:shd w:val="clear" w:color="auto" w:fill="232F84"/>
          </w:tcPr>
          <w:p>
            <w:pPr>
              <w:jc w:val="right"/>
              <w:spacing w:after="0"/>
              <w:rPr>
                <w:sz w:val="20"/>
                <w:szCs w:val="20"/>
                <w:color w:val="auto"/>
              </w:rPr>
            </w:pPr>
            <w:r>
              <w:rPr>
                <w:rFonts w:ascii="Arial" w:cs="Arial" w:eastAsia="Arial" w:hAnsi="Arial"/>
                <w:sz w:val="13"/>
                <w:szCs w:val="13"/>
                <w:b w:val="1"/>
                <w:bCs w:val="1"/>
                <w:color w:val="FFFFFF"/>
              </w:rPr>
              <w:t>Cost of sales</w:t>
            </w:r>
          </w:p>
        </w:tc>
        <w:tc>
          <w:tcPr>
            <w:tcW w:w="1180" w:type="dxa"/>
            <w:vAlign w:val="bottom"/>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rPr>
              <w:t>expenses</w:t>
            </w:r>
          </w:p>
        </w:tc>
        <w:tc>
          <w:tcPr>
            <w:tcW w:w="200" w:type="dxa"/>
            <w:vAlign w:val="bottom"/>
            <w:shd w:val="clear" w:color="auto" w:fill="232F84"/>
          </w:tcPr>
          <w:p>
            <w:pPr>
              <w:spacing w:after="0"/>
              <w:rPr>
                <w:sz w:val="14"/>
                <w:szCs w:val="14"/>
                <w:color w:val="auto"/>
              </w:rPr>
            </w:pPr>
          </w:p>
        </w:tc>
        <w:tc>
          <w:tcPr>
            <w:tcW w:w="1000" w:type="dxa"/>
            <w:vAlign w:val="bottom"/>
            <w:shd w:val="clear" w:color="auto" w:fill="232F84"/>
          </w:tcPr>
          <w:p>
            <w:pPr>
              <w:jc w:val="right"/>
              <w:spacing w:after="0"/>
              <w:rPr>
                <w:sz w:val="20"/>
                <w:szCs w:val="20"/>
                <w:color w:val="auto"/>
              </w:rPr>
            </w:pPr>
            <w:r>
              <w:rPr>
                <w:rFonts w:ascii="Arial" w:cs="Arial" w:eastAsia="Arial" w:hAnsi="Arial"/>
                <w:sz w:val="13"/>
                <w:szCs w:val="13"/>
                <w:b w:val="1"/>
                <w:bCs w:val="1"/>
                <w:color w:val="FFFFFF"/>
              </w:rPr>
              <w:t>income, net</w:t>
            </w:r>
          </w:p>
        </w:tc>
        <w:tc>
          <w:tcPr>
            <w:tcW w:w="20" w:type="dxa"/>
            <w:vAlign w:val="bottom"/>
          </w:tcPr>
          <w:p>
            <w:pPr>
              <w:spacing w:after="0"/>
              <w:rPr>
                <w:sz w:val="14"/>
                <w:szCs w:val="14"/>
                <w:color w:val="auto"/>
              </w:rPr>
            </w:pPr>
          </w:p>
        </w:tc>
      </w:tr>
      <w:tr>
        <w:trPr>
          <w:trHeight w:val="36"/>
        </w:trPr>
        <w:tc>
          <w:tcPr>
            <w:tcW w:w="1820" w:type="dxa"/>
            <w:vAlign w:val="bottom"/>
            <w:shd w:val="clear" w:color="auto" w:fill="232F84"/>
          </w:tcPr>
          <w:p>
            <w:pPr>
              <w:spacing w:after="0"/>
              <w:rPr>
                <w:sz w:val="3"/>
                <w:szCs w:val="3"/>
                <w:color w:val="auto"/>
              </w:rPr>
            </w:pPr>
          </w:p>
        </w:tc>
        <w:tc>
          <w:tcPr>
            <w:tcW w:w="280" w:type="dxa"/>
            <w:vAlign w:val="bottom"/>
            <w:shd w:val="clear" w:color="auto" w:fill="232F84"/>
          </w:tcPr>
          <w:p>
            <w:pPr>
              <w:spacing w:after="0"/>
              <w:rPr>
                <w:sz w:val="3"/>
                <w:szCs w:val="3"/>
                <w:color w:val="auto"/>
              </w:rPr>
            </w:pPr>
          </w:p>
        </w:tc>
        <w:tc>
          <w:tcPr>
            <w:tcW w:w="580" w:type="dxa"/>
            <w:vAlign w:val="bottom"/>
            <w:shd w:val="clear" w:color="auto" w:fill="232F84"/>
          </w:tcPr>
          <w:p>
            <w:pPr>
              <w:spacing w:after="0"/>
              <w:rPr>
                <w:sz w:val="3"/>
                <w:szCs w:val="3"/>
                <w:color w:val="auto"/>
              </w:rPr>
            </w:pPr>
          </w:p>
        </w:tc>
        <w:tc>
          <w:tcPr>
            <w:tcW w:w="240" w:type="dxa"/>
            <w:vAlign w:val="bottom"/>
            <w:shd w:val="clear" w:color="auto" w:fill="232F84"/>
          </w:tcPr>
          <w:p>
            <w:pPr>
              <w:spacing w:after="0"/>
              <w:rPr>
                <w:sz w:val="3"/>
                <w:szCs w:val="3"/>
                <w:color w:val="auto"/>
              </w:rPr>
            </w:pPr>
          </w:p>
        </w:tc>
        <w:tc>
          <w:tcPr>
            <w:tcW w:w="140" w:type="dxa"/>
            <w:vAlign w:val="bottom"/>
            <w:shd w:val="clear" w:color="auto" w:fill="232F84"/>
          </w:tcPr>
          <w:p>
            <w:pPr>
              <w:spacing w:after="0"/>
              <w:rPr>
                <w:sz w:val="3"/>
                <w:szCs w:val="3"/>
                <w:color w:val="auto"/>
              </w:rPr>
            </w:pPr>
          </w:p>
        </w:tc>
        <w:tc>
          <w:tcPr>
            <w:tcW w:w="2160" w:type="dxa"/>
            <w:vAlign w:val="bottom"/>
            <w:gridSpan w:val="3"/>
            <w:shd w:val="clear" w:color="auto" w:fill="232F84"/>
          </w:tcPr>
          <w:p>
            <w:pPr>
              <w:spacing w:after="0"/>
              <w:rPr>
                <w:sz w:val="3"/>
                <w:szCs w:val="3"/>
                <w:color w:val="auto"/>
              </w:rPr>
            </w:pPr>
          </w:p>
        </w:tc>
        <w:tc>
          <w:tcPr>
            <w:tcW w:w="200" w:type="dxa"/>
            <w:vAlign w:val="bottom"/>
            <w:shd w:val="clear" w:color="auto" w:fill="232F84"/>
          </w:tcPr>
          <w:p>
            <w:pPr>
              <w:spacing w:after="0"/>
              <w:rPr>
                <w:sz w:val="3"/>
                <w:szCs w:val="3"/>
                <w:color w:val="auto"/>
              </w:rPr>
            </w:pPr>
          </w:p>
        </w:tc>
        <w:tc>
          <w:tcPr>
            <w:tcW w:w="980" w:type="dxa"/>
            <w:vAlign w:val="bottom"/>
            <w:shd w:val="clear" w:color="auto" w:fill="232F84"/>
          </w:tcPr>
          <w:p>
            <w:pPr>
              <w:spacing w:after="0"/>
              <w:rPr>
                <w:sz w:val="3"/>
                <w:szCs w:val="3"/>
                <w:color w:val="auto"/>
              </w:rPr>
            </w:pPr>
          </w:p>
        </w:tc>
        <w:tc>
          <w:tcPr>
            <w:tcW w:w="660" w:type="dxa"/>
            <w:vAlign w:val="bottom"/>
            <w:shd w:val="clear" w:color="auto" w:fill="232F84"/>
          </w:tcPr>
          <w:p>
            <w:pPr>
              <w:spacing w:after="0"/>
              <w:rPr>
                <w:sz w:val="3"/>
                <w:szCs w:val="3"/>
                <w:color w:val="auto"/>
              </w:rPr>
            </w:pPr>
          </w:p>
        </w:tc>
        <w:tc>
          <w:tcPr>
            <w:tcW w:w="640" w:type="dxa"/>
            <w:vAlign w:val="bottom"/>
            <w:shd w:val="clear" w:color="auto" w:fill="232F84"/>
          </w:tcPr>
          <w:p>
            <w:pPr>
              <w:spacing w:after="0"/>
              <w:rPr>
                <w:sz w:val="3"/>
                <w:szCs w:val="3"/>
                <w:color w:val="auto"/>
              </w:rPr>
            </w:pPr>
          </w:p>
        </w:tc>
        <w:tc>
          <w:tcPr>
            <w:tcW w:w="2320" w:type="dxa"/>
            <w:vAlign w:val="bottom"/>
            <w:gridSpan w:val="5"/>
            <w:shd w:val="clear" w:color="auto" w:fill="232F84"/>
          </w:tcPr>
          <w:p>
            <w:pPr>
              <w:spacing w:after="0"/>
              <w:rPr>
                <w:sz w:val="3"/>
                <w:szCs w:val="3"/>
                <w:color w:val="auto"/>
              </w:rPr>
            </w:pPr>
          </w:p>
        </w:tc>
        <w:tc>
          <w:tcPr>
            <w:tcW w:w="200" w:type="dxa"/>
            <w:vAlign w:val="bottom"/>
            <w:shd w:val="clear" w:color="auto" w:fill="232F84"/>
          </w:tcPr>
          <w:p>
            <w:pPr>
              <w:spacing w:after="0"/>
              <w:rPr>
                <w:sz w:val="3"/>
                <w:szCs w:val="3"/>
                <w:color w:val="auto"/>
              </w:rPr>
            </w:pPr>
          </w:p>
        </w:tc>
        <w:tc>
          <w:tcPr>
            <w:tcW w:w="1000" w:type="dxa"/>
            <w:vAlign w:val="bottom"/>
            <w:shd w:val="clear" w:color="auto" w:fill="232F84"/>
          </w:tcPr>
          <w:p>
            <w:pPr>
              <w:spacing w:after="0"/>
              <w:rPr>
                <w:sz w:val="3"/>
                <w:szCs w:val="3"/>
                <w:color w:val="auto"/>
              </w:rPr>
            </w:pPr>
          </w:p>
        </w:tc>
        <w:tc>
          <w:tcPr>
            <w:tcW w:w="20" w:type="dxa"/>
            <w:vAlign w:val="bottom"/>
          </w:tcPr>
          <w:p>
            <w:pPr>
              <w:spacing w:after="0"/>
              <w:rPr>
                <w:sz w:val="3"/>
                <w:szCs w:val="3"/>
                <w:color w:val="auto"/>
              </w:rPr>
            </w:pPr>
          </w:p>
        </w:tc>
      </w:tr>
      <w:tr>
        <w:trPr>
          <w:trHeight w:val="189"/>
        </w:trPr>
        <w:tc>
          <w:tcPr>
            <w:tcW w:w="182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3"/>
                <w:szCs w:val="13"/>
                <w:b w:val="1"/>
                <w:bCs w:val="1"/>
                <w:color w:val="FFFFFF"/>
              </w:rPr>
              <w:t>(In millions)</w:t>
            </w:r>
          </w:p>
        </w:tc>
        <w:tc>
          <w:tcPr>
            <w:tcW w:w="280" w:type="dxa"/>
            <w:vAlign w:val="bottom"/>
            <w:tcBorders>
              <w:bottom w:val="single" w:sz="8" w:color="232F84"/>
            </w:tcBorders>
            <w:shd w:val="clear" w:color="auto" w:fill="232F84"/>
          </w:tcPr>
          <w:p>
            <w:pPr>
              <w:spacing w:after="0"/>
              <w:rPr>
                <w:sz w:val="16"/>
                <w:szCs w:val="16"/>
                <w:color w:val="auto"/>
              </w:rPr>
            </w:pPr>
          </w:p>
        </w:tc>
        <w:tc>
          <w:tcPr>
            <w:tcW w:w="580" w:type="dxa"/>
            <w:vAlign w:val="bottom"/>
            <w:tcBorders>
              <w:bottom w:val="single" w:sz="8" w:color="232F84"/>
            </w:tcBorders>
            <w:shd w:val="clear" w:color="auto" w:fill="232F84"/>
          </w:tcPr>
          <w:p>
            <w:pPr>
              <w:spacing w:after="0"/>
              <w:rPr>
                <w:sz w:val="16"/>
                <w:szCs w:val="16"/>
                <w:color w:val="auto"/>
              </w:rPr>
            </w:pPr>
          </w:p>
        </w:tc>
        <w:tc>
          <w:tcPr>
            <w:tcW w:w="240" w:type="dxa"/>
            <w:vAlign w:val="bottom"/>
            <w:tcBorders>
              <w:bottom w:val="single" w:sz="8" w:color="232F84"/>
            </w:tcBorders>
            <w:shd w:val="clear" w:color="auto" w:fill="232F84"/>
          </w:tcPr>
          <w:p>
            <w:pPr>
              <w:spacing w:after="0"/>
              <w:rPr>
                <w:sz w:val="16"/>
                <w:szCs w:val="16"/>
                <w:color w:val="auto"/>
              </w:rPr>
            </w:pPr>
          </w:p>
        </w:tc>
        <w:tc>
          <w:tcPr>
            <w:tcW w:w="140" w:type="dxa"/>
            <w:vAlign w:val="bottom"/>
            <w:tcBorders>
              <w:bottom w:val="single" w:sz="8" w:color="232F84"/>
            </w:tcBorders>
            <w:shd w:val="clear" w:color="auto" w:fill="232F84"/>
          </w:tcPr>
          <w:p>
            <w:pPr>
              <w:spacing w:after="0"/>
              <w:rPr>
                <w:sz w:val="16"/>
                <w:szCs w:val="16"/>
                <w:color w:val="auto"/>
              </w:rPr>
            </w:pPr>
          </w:p>
        </w:tc>
        <w:tc>
          <w:tcPr>
            <w:tcW w:w="2160" w:type="dxa"/>
            <w:vAlign w:val="bottom"/>
            <w:tcBorders>
              <w:bottom w:val="single" w:sz="8" w:color="232F84"/>
            </w:tcBorders>
            <w:gridSpan w:val="3"/>
            <w:shd w:val="clear" w:color="auto" w:fill="232F84"/>
          </w:tcPr>
          <w:p>
            <w:pPr>
              <w:jc w:val="right"/>
              <w:spacing w:after="0"/>
              <w:rPr>
                <w:sz w:val="20"/>
                <w:szCs w:val="20"/>
                <w:color w:val="auto"/>
              </w:rPr>
            </w:pPr>
            <w:r>
              <w:rPr>
                <w:rFonts w:ascii="Arial" w:cs="Arial" w:eastAsia="Arial" w:hAnsi="Arial"/>
                <w:sz w:val="13"/>
                <w:szCs w:val="13"/>
                <w:b w:val="1"/>
                <w:bCs w:val="1"/>
                <w:color w:val="FFFFFF"/>
                <w:w w:val="96"/>
              </w:rPr>
              <w:t>Three Months Ended April 30, 2021</w:t>
            </w:r>
          </w:p>
        </w:tc>
        <w:tc>
          <w:tcPr>
            <w:tcW w:w="200" w:type="dxa"/>
            <w:vAlign w:val="bottom"/>
            <w:tcBorders>
              <w:bottom w:val="single" w:sz="8" w:color="232F84"/>
            </w:tcBorders>
            <w:shd w:val="clear" w:color="auto" w:fill="232F84"/>
          </w:tcPr>
          <w:p>
            <w:pPr>
              <w:spacing w:after="0"/>
              <w:rPr>
                <w:sz w:val="16"/>
                <w:szCs w:val="16"/>
                <w:color w:val="auto"/>
              </w:rPr>
            </w:pPr>
          </w:p>
        </w:tc>
        <w:tc>
          <w:tcPr>
            <w:tcW w:w="980" w:type="dxa"/>
            <w:vAlign w:val="bottom"/>
            <w:tcBorders>
              <w:bottom w:val="single" w:sz="8" w:color="232F84"/>
            </w:tcBorders>
            <w:shd w:val="clear" w:color="auto" w:fill="232F84"/>
          </w:tcPr>
          <w:p>
            <w:pPr>
              <w:spacing w:after="0"/>
              <w:rPr>
                <w:sz w:val="16"/>
                <w:szCs w:val="16"/>
                <w:color w:val="auto"/>
              </w:rPr>
            </w:pPr>
          </w:p>
        </w:tc>
        <w:tc>
          <w:tcPr>
            <w:tcW w:w="660" w:type="dxa"/>
            <w:vAlign w:val="bottom"/>
            <w:tcBorders>
              <w:bottom w:val="single" w:sz="8" w:color="232F84"/>
            </w:tcBorders>
            <w:shd w:val="clear" w:color="auto" w:fill="232F84"/>
          </w:tcPr>
          <w:p>
            <w:pPr>
              <w:spacing w:after="0"/>
              <w:rPr>
                <w:sz w:val="16"/>
                <w:szCs w:val="16"/>
                <w:color w:val="auto"/>
              </w:rPr>
            </w:pPr>
          </w:p>
        </w:tc>
        <w:tc>
          <w:tcPr>
            <w:tcW w:w="640" w:type="dxa"/>
            <w:vAlign w:val="bottom"/>
            <w:tcBorders>
              <w:bottom w:val="single" w:sz="8" w:color="232F84"/>
            </w:tcBorders>
            <w:shd w:val="clear" w:color="auto" w:fill="232F84"/>
          </w:tcPr>
          <w:p>
            <w:pPr>
              <w:spacing w:after="0"/>
              <w:rPr>
                <w:sz w:val="16"/>
                <w:szCs w:val="16"/>
                <w:color w:val="auto"/>
              </w:rPr>
            </w:pPr>
          </w:p>
        </w:tc>
        <w:tc>
          <w:tcPr>
            <w:tcW w:w="2320" w:type="dxa"/>
            <w:vAlign w:val="bottom"/>
            <w:tcBorders>
              <w:bottom w:val="single" w:sz="8" w:color="232F84"/>
            </w:tcBorders>
            <w:gridSpan w:val="5"/>
            <w:shd w:val="clear" w:color="auto" w:fill="232F84"/>
          </w:tcPr>
          <w:p>
            <w:pPr>
              <w:jc w:val="right"/>
              <w:ind w:right="97"/>
              <w:spacing w:after="0"/>
              <w:rPr>
                <w:sz w:val="20"/>
                <w:szCs w:val="20"/>
                <w:color w:val="auto"/>
              </w:rPr>
            </w:pPr>
            <w:r>
              <w:rPr>
                <w:rFonts w:ascii="Arial" w:cs="Arial" w:eastAsia="Arial" w:hAnsi="Arial"/>
                <w:sz w:val="13"/>
                <w:szCs w:val="13"/>
                <w:b w:val="1"/>
                <w:bCs w:val="1"/>
                <w:color w:val="FFFFFF"/>
              </w:rPr>
              <w:t>Six Months Ended April 30, 2021</w:t>
            </w:r>
          </w:p>
        </w:tc>
        <w:tc>
          <w:tcPr>
            <w:tcW w:w="200" w:type="dxa"/>
            <w:vAlign w:val="bottom"/>
            <w:tcBorders>
              <w:bottom w:val="single" w:sz="8" w:color="232F84"/>
            </w:tcBorders>
            <w:shd w:val="clear" w:color="auto" w:fill="232F84"/>
          </w:tcPr>
          <w:p>
            <w:pPr>
              <w:spacing w:after="0"/>
              <w:rPr>
                <w:sz w:val="16"/>
                <w:szCs w:val="16"/>
                <w:color w:val="auto"/>
              </w:rPr>
            </w:pPr>
          </w:p>
        </w:tc>
        <w:tc>
          <w:tcPr>
            <w:tcW w:w="1000" w:type="dxa"/>
            <w:vAlign w:val="bottom"/>
            <w:tcBorders>
              <w:bottom w:val="single" w:sz="8" w:color="232F84"/>
            </w:tcBorders>
            <w:shd w:val="clear" w:color="auto" w:fill="232F84"/>
          </w:tcPr>
          <w:p>
            <w:pPr>
              <w:spacing w:after="0"/>
              <w:rPr>
                <w:sz w:val="16"/>
                <w:szCs w:val="16"/>
                <w:color w:val="auto"/>
              </w:rPr>
            </w:pPr>
          </w:p>
        </w:tc>
        <w:tc>
          <w:tcPr>
            <w:tcW w:w="20" w:type="dxa"/>
            <w:vAlign w:val="bottom"/>
          </w:tcPr>
          <w:p>
            <w:pPr>
              <w:spacing w:after="0"/>
              <w:rPr>
                <w:sz w:val="16"/>
                <w:szCs w:val="16"/>
                <w:color w:val="auto"/>
              </w:rPr>
            </w:pPr>
          </w:p>
        </w:tc>
      </w:tr>
      <w:tr>
        <w:trPr>
          <w:trHeight w:val="173"/>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Equity method investees:</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
        </w:trPr>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183"/>
        </w:trPr>
        <w:tc>
          <w:tcPr>
            <w:tcW w:w="1820" w:type="dxa"/>
            <w:vAlign w:val="bottom"/>
            <w:tcBorders>
              <w:bottom w:val="single" w:sz="8" w:color="43C0B9"/>
            </w:tcBorders>
            <w:shd w:val="clear" w:color="auto" w:fill="43C0B9"/>
          </w:tcPr>
          <w:p>
            <w:pPr>
              <w:ind w:left="140"/>
              <w:spacing w:after="0"/>
              <w:rPr>
                <w:sz w:val="20"/>
                <w:szCs w:val="20"/>
                <w:color w:val="auto"/>
              </w:rPr>
            </w:pPr>
            <w:r>
              <w:rPr>
                <w:rFonts w:ascii="Arial" w:cs="Arial" w:eastAsia="Arial" w:hAnsi="Arial"/>
                <w:sz w:val="13"/>
                <w:szCs w:val="13"/>
                <w:color w:val="auto"/>
              </w:rPr>
              <w:t>Mr. Avocado</w:t>
            </w:r>
          </w:p>
        </w:tc>
        <w:tc>
          <w:tcPr>
            <w:tcW w:w="280" w:type="dxa"/>
            <w:vAlign w:val="bottom"/>
            <w:tcBorders>
              <w:bottom w:val="single" w:sz="8" w:color="43C0B9"/>
            </w:tcBorders>
            <w:shd w:val="clear" w:color="auto" w:fill="43C0B9"/>
          </w:tcPr>
          <w:p>
            <w:pPr>
              <w:jc w:val="right"/>
              <w:ind w:right="13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43C0B9"/>
            </w:tcBorders>
            <w:gridSpan w:val="2"/>
            <w:shd w:val="clear" w:color="auto" w:fill="43C0B9"/>
          </w:tcPr>
          <w:p>
            <w:pPr>
              <w:jc w:val="right"/>
              <w:ind w:right="37"/>
              <w:spacing w:after="0"/>
              <w:rPr>
                <w:sz w:val="20"/>
                <w:szCs w:val="20"/>
                <w:color w:val="auto"/>
              </w:rPr>
            </w:pPr>
            <w:r>
              <w:rPr>
                <w:rFonts w:ascii="Arial" w:cs="Arial" w:eastAsia="Arial" w:hAnsi="Arial"/>
                <w:sz w:val="13"/>
                <w:szCs w:val="13"/>
                <w:color w:val="auto"/>
              </w:rPr>
              <w:t>0.8</w:t>
            </w:r>
          </w:p>
        </w:tc>
        <w:tc>
          <w:tcPr>
            <w:tcW w:w="1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43C0B9"/>
            </w:tcBorders>
            <w:shd w:val="clear" w:color="auto" w:fill="43C0B9"/>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3C0B9"/>
            </w:tcBorders>
            <w:shd w:val="clear" w:color="auto" w:fill="43C0B9"/>
          </w:tcPr>
          <w:p>
            <w:pPr>
              <w:jc w:val="right"/>
              <w:ind w:right="3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43C0B9"/>
            </w:tcBorders>
            <w:shd w:val="clear" w:color="auto" w:fill="43C0B9"/>
          </w:tcPr>
          <w:p>
            <w:pPr>
              <w:jc w:val="right"/>
              <w:ind w:right="37"/>
              <w:spacing w:after="0"/>
              <w:rPr>
                <w:sz w:val="20"/>
                <w:szCs w:val="20"/>
                <w:color w:val="auto"/>
              </w:rPr>
            </w:pPr>
            <w:r>
              <w:rPr>
                <w:rFonts w:ascii="Arial" w:cs="Arial" w:eastAsia="Arial" w:hAnsi="Arial"/>
                <w:sz w:val="13"/>
                <w:szCs w:val="13"/>
                <w:color w:val="auto"/>
              </w:rPr>
              <w:t>1.9</w:t>
            </w:r>
          </w:p>
        </w:tc>
        <w:tc>
          <w:tcPr>
            <w:tcW w:w="740" w:type="dxa"/>
            <w:vAlign w:val="bottom"/>
            <w:tcBorders>
              <w:bottom w:val="single" w:sz="8" w:color="43C0B9"/>
            </w:tcBorders>
            <w:shd w:val="clear" w:color="auto" w:fill="43C0B9"/>
          </w:tcPr>
          <w:p>
            <w:pPr>
              <w:jc w:val="right"/>
              <w:ind w:right="53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43C0B9"/>
            </w:tcBorders>
            <w:shd w:val="clear" w:color="auto" w:fill="43C0B9"/>
          </w:tcPr>
          <w:p>
            <w:pPr>
              <w:spacing w:after="0"/>
              <w:rPr>
                <w:sz w:val="15"/>
                <w:szCs w:val="15"/>
                <w:color w:val="auto"/>
              </w:rPr>
            </w:pPr>
          </w:p>
        </w:tc>
        <w:tc>
          <w:tcPr>
            <w:tcW w:w="2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43C0B9"/>
            </w:tcBorders>
            <w:shd w:val="clear" w:color="auto" w:fill="43C0B9"/>
          </w:tcPr>
          <w:p>
            <w:pPr>
              <w:jc w:val="right"/>
              <w:ind w:right="7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3C0B9"/>
            </w:tcBorders>
            <w:shd w:val="clear" w:color="auto" w:fill="43C0B9"/>
          </w:tcPr>
          <w:p>
            <w:pPr>
              <w:ind w:left="10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r>
      <w:tr>
        <w:trPr>
          <w:trHeight w:val="203"/>
        </w:trPr>
        <w:tc>
          <w:tcPr>
            <w:tcW w:w="1820" w:type="dxa"/>
            <w:vAlign w:val="bottom"/>
          </w:tcPr>
          <w:p>
            <w:pPr>
              <w:ind w:left="140"/>
              <w:spacing w:after="0"/>
              <w:rPr>
                <w:sz w:val="20"/>
                <w:szCs w:val="20"/>
                <w:color w:val="auto"/>
              </w:rPr>
            </w:pPr>
            <w:r>
              <w:rPr>
                <w:rFonts w:ascii="Arial" w:cs="Arial" w:eastAsia="Arial" w:hAnsi="Arial"/>
                <w:sz w:val="13"/>
                <w:szCs w:val="13"/>
                <w:color w:val="auto"/>
              </w:rPr>
              <w:t>Moruga</w:t>
            </w:r>
            <w:r>
              <w:rPr>
                <w:rFonts w:ascii="Arial" w:cs="Arial" w:eastAsia="Arial" w:hAnsi="Arial"/>
                <w:sz w:val="16"/>
                <w:szCs w:val="16"/>
                <w:color w:val="auto"/>
                <w:vertAlign w:val="superscript"/>
              </w:rPr>
              <w:t>(1)</w:t>
            </w:r>
          </w:p>
        </w:tc>
        <w:tc>
          <w:tcPr>
            <w:tcW w:w="280" w:type="dxa"/>
            <w:vAlign w:val="bottom"/>
          </w:tcPr>
          <w:p>
            <w:pPr>
              <w:spacing w:after="0"/>
              <w:rPr>
                <w:sz w:val="17"/>
                <w:szCs w:val="17"/>
                <w:color w:val="auto"/>
              </w:rPr>
            </w:pPr>
          </w:p>
        </w:tc>
        <w:tc>
          <w:tcPr>
            <w:tcW w:w="820" w:type="dxa"/>
            <w:vAlign w:val="bottom"/>
            <w:gridSpan w:val="2"/>
          </w:tcPr>
          <w:p>
            <w:pPr>
              <w:jc w:val="right"/>
              <w:ind w:right="37"/>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17"/>
                <w:szCs w:val="17"/>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0.1</w:t>
            </w:r>
          </w:p>
        </w:tc>
        <w:tc>
          <w:tcPr>
            <w:tcW w:w="660" w:type="dxa"/>
            <w:vAlign w:val="bottom"/>
          </w:tcPr>
          <w:p>
            <w:pPr>
              <w:spacing w:after="0"/>
              <w:rPr>
                <w:sz w:val="17"/>
                <w:szCs w:val="17"/>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7"/>
                <w:szCs w:val="17"/>
                <w:color w:val="auto"/>
              </w:rPr>
            </w:pPr>
          </w:p>
        </w:tc>
      </w:tr>
      <w:tr>
        <w:trPr>
          <w:trHeight w:val="183"/>
        </w:trPr>
        <w:tc>
          <w:tcPr>
            <w:tcW w:w="182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b w:val="1"/>
                <w:bCs w:val="1"/>
                <w:color w:val="auto"/>
              </w:rPr>
              <w:t>Other:</w:t>
            </w:r>
          </w:p>
        </w:tc>
        <w:tc>
          <w:tcPr>
            <w:tcW w:w="28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18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shd w:val="clear" w:color="auto" w:fill="43C0B9"/>
          </w:tcPr>
          <w:p>
            <w:pPr>
              <w:spacing w:after="0"/>
              <w:rPr>
                <w:sz w:val="15"/>
                <w:szCs w:val="15"/>
                <w:color w:val="auto"/>
              </w:rPr>
            </w:pPr>
          </w:p>
        </w:tc>
        <w:tc>
          <w:tcPr>
            <w:tcW w:w="640" w:type="dxa"/>
            <w:vAlign w:val="bottom"/>
            <w:tcBorders>
              <w:bottom w:val="single" w:sz="8" w:color="43C0B9"/>
            </w:tcBorders>
            <w:shd w:val="clear" w:color="auto" w:fill="43C0B9"/>
          </w:tcPr>
          <w:p>
            <w:pPr>
              <w:spacing w:after="0"/>
              <w:rPr>
                <w:sz w:val="15"/>
                <w:szCs w:val="15"/>
                <w:color w:val="auto"/>
              </w:rPr>
            </w:pPr>
          </w:p>
        </w:tc>
        <w:tc>
          <w:tcPr>
            <w:tcW w:w="7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260" w:type="dxa"/>
            <w:vAlign w:val="bottom"/>
            <w:tcBorders>
              <w:bottom w:val="single" w:sz="8" w:color="43C0B9"/>
            </w:tcBorders>
            <w:shd w:val="clear" w:color="auto" w:fill="43C0B9"/>
          </w:tcPr>
          <w:p>
            <w:pPr>
              <w:spacing w:after="0"/>
              <w:rPr>
                <w:sz w:val="15"/>
                <w:szCs w:val="15"/>
                <w:color w:val="auto"/>
              </w:rPr>
            </w:pPr>
          </w:p>
        </w:tc>
        <w:tc>
          <w:tcPr>
            <w:tcW w:w="94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1820" w:type="dxa"/>
            <w:vAlign w:val="bottom"/>
          </w:tcPr>
          <w:p>
            <w:pPr>
              <w:ind w:left="140"/>
              <w:spacing w:after="0"/>
              <w:rPr>
                <w:sz w:val="20"/>
                <w:szCs w:val="20"/>
                <w:color w:val="auto"/>
              </w:rPr>
            </w:pPr>
            <w:r>
              <w:rPr>
                <w:rFonts w:ascii="Arial" w:cs="Arial" w:eastAsia="Arial" w:hAnsi="Arial"/>
                <w:sz w:val="13"/>
                <w:szCs w:val="13"/>
                <w:color w:val="auto"/>
              </w:rPr>
              <w:t>Directors/Officers</w:t>
            </w:r>
            <w:r>
              <w:rPr>
                <w:rFonts w:ascii="Arial" w:cs="Arial" w:eastAsia="Arial" w:hAnsi="Arial"/>
                <w:sz w:val="16"/>
                <w:szCs w:val="16"/>
                <w:color w:val="auto"/>
                <w:vertAlign w:val="superscript"/>
              </w:rPr>
              <w:t>(2)</w:t>
            </w:r>
          </w:p>
        </w:tc>
        <w:tc>
          <w:tcPr>
            <w:tcW w:w="280" w:type="dxa"/>
            <w:vAlign w:val="bottom"/>
          </w:tcPr>
          <w:p>
            <w:pPr>
              <w:spacing w:after="0"/>
              <w:rPr>
                <w:sz w:val="17"/>
                <w:szCs w:val="17"/>
                <w:color w:val="auto"/>
              </w:rPr>
            </w:pPr>
          </w:p>
        </w:tc>
        <w:tc>
          <w:tcPr>
            <w:tcW w:w="820" w:type="dxa"/>
            <w:vAlign w:val="bottom"/>
            <w:gridSpan w:val="2"/>
          </w:tcPr>
          <w:p>
            <w:pPr>
              <w:jc w:val="right"/>
              <w:ind w:right="37"/>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7"/>
                <w:szCs w:val="17"/>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0.1</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7"/>
                <w:szCs w:val="17"/>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9"/>
              </w:rPr>
              <w:t>1.4</w:t>
            </w: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8"/>
              </w:rPr>
              <w:t>0.1</w:t>
            </w: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03"/>
        </w:trPr>
        <w:tc>
          <w:tcPr>
            <w:tcW w:w="1820" w:type="dxa"/>
            <w:vAlign w:val="bottom"/>
            <w:shd w:val="clear" w:color="auto" w:fill="43C0B9"/>
          </w:tcPr>
          <w:p>
            <w:pPr>
              <w:ind w:left="140"/>
              <w:spacing w:after="0"/>
              <w:rPr>
                <w:sz w:val="20"/>
                <w:szCs w:val="20"/>
                <w:color w:val="auto"/>
              </w:rPr>
            </w:pPr>
            <w:r>
              <w:rPr>
                <w:rFonts w:ascii="Arial" w:cs="Arial" w:eastAsia="Arial" w:hAnsi="Arial"/>
                <w:sz w:val="13"/>
                <w:szCs w:val="13"/>
                <w:color w:val="auto"/>
              </w:rPr>
              <w:t>Employees</w:t>
            </w:r>
            <w:r>
              <w:rPr>
                <w:rFonts w:ascii="Arial" w:cs="Arial" w:eastAsia="Arial" w:hAnsi="Arial"/>
                <w:sz w:val="16"/>
                <w:szCs w:val="16"/>
                <w:color w:val="auto"/>
                <w:vertAlign w:val="superscript"/>
              </w:rPr>
              <w:t>(3)</w:t>
            </w:r>
          </w:p>
        </w:tc>
        <w:tc>
          <w:tcPr>
            <w:tcW w:w="280" w:type="dxa"/>
            <w:vAlign w:val="bottom"/>
            <w:shd w:val="clear" w:color="auto" w:fill="43C0B9"/>
          </w:tcPr>
          <w:p>
            <w:pPr>
              <w:spacing w:after="0"/>
              <w:rPr>
                <w:sz w:val="17"/>
                <w:szCs w:val="17"/>
                <w:color w:val="auto"/>
              </w:rPr>
            </w:pPr>
          </w:p>
        </w:tc>
        <w:tc>
          <w:tcPr>
            <w:tcW w:w="580" w:type="dxa"/>
            <w:vAlign w:val="bottom"/>
            <w:shd w:val="clear" w:color="auto" w:fill="43C0B9"/>
          </w:tcPr>
          <w:p>
            <w:pPr>
              <w:spacing w:after="0"/>
              <w:rPr>
                <w:sz w:val="17"/>
                <w:szCs w:val="17"/>
                <w:color w:val="auto"/>
              </w:rPr>
            </w:pPr>
          </w:p>
        </w:tc>
        <w:tc>
          <w:tcPr>
            <w:tcW w:w="240" w:type="dxa"/>
            <w:vAlign w:val="bottom"/>
            <w:shd w:val="clear" w:color="auto" w:fill="43C0B9"/>
          </w:tcPr>
          <w:p>
            <w:pPr>
              <w:jc w:val="right"/>
              <w:ind w:right="37"/>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43C0B9"/>
          </w:tcPr>
          <w:p>
            <w:pPr>
              <w:spacing w:after="0"/>
              <w:rPr>
                <w:sz w:val="17"/>
                <w:szCs w:val="17"/>
                <w:color w:val="auto"/>
              </w:rPr>
            </w:pPr>
          </w:p>
        </w:tc>
        <w:tc>
          <w:tcPr>
            <w:tcW w:w="1000" w:type="dxa"/>
            <w:vAlign w:val="bottom"/>
            <w:shd w:val="clear" w:color="auto" w:fill="43C0B9"/>
          </w:tcPr>
          <w:p>
            <w:pPr>
              <w:jc w:val="right"/>
              <w:ind w:right="17"/>
              <w:spacing w:after="0"/>
              <w:rPr>
                <w:sz w:val="20"/>
                <w:szCs w:val="20"/>
                <w:color w:val="auto"/>
              </w:rPr>
            </w:pPr>
            <w:r>
              <w:rPr>
                <w:rFonts w:ascii="Arial" w:cs="Arial" w:eastAsia="Arial" w:hAnsi="Arial"/>
                <w:sz w:val="13"/>
                <w:szCs w:val="13"/>
                <w:color w:val="auto"/>
              </w:rPr>
              <w:t>3.0</w:t>
            </w:r>
          </w:p>
        </w:tc>
        <w:tc>
          <w:tcPr>
            <w:tcW w:w="180" w:type="dxa"/>
            <w:vAlign w:val="bottom"/>
            <w:shd w:val="clear" w:color="auto" w:fill="43C0B9"/>
          </w:tcPr>
          <w:p>
            <w:pPr>
              <w:spacing w:after="0"/>
              <w:rPr>
                <w:sz w:val="17"/>
                <w:szCs w:val="17"/>
                <w:color w:val="auto"/>
              </w:rPr>
            </w:pPr>
          </w:p>
        </w:tc>
        <w:tc>
          <w:tcPr>
            <w:tcW w:w="980" w:type="dxa"/>
            <w:vAlign w:val="bottom"/>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43C0B9"/>
          </w:tcPr>
          <w:p>
            <w:pPr>
              <w:spacing w:after="0"/>
              <w:rPr>
                <w:sz w:val="17"/>
                <w:szCs w:val="17"/>
                <w:color w:val="auto"/>
              </w:rPr>
            </w:pPr>
          </w:p>
        </w:tc>
        <w:tc>
          <w:tcPr>
            <w:tcW w:w="980" w:type="dxa"/>
            <w:vAlign w:val="bottom"/>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43C0B9"/>
          </w:tcPr>
          <w:p>
            <w:pPr>
              <w:spacing w:after="0"/>
              <w:rPr>
                <w:sz w:val="17"/>
                <w:szCs w:val="17"/>
                <w:color w:val="auto"/>
              </w:rPr>
            </w:pPr>
          </w:p>
        </w:tc>
        <w:tc>
          <w:tcPr>
            <w:tcW w:w="640" w:type="dxa"/>
            <w:vAlign w:val="bottom"/>
            <w:shd w:val="clear" w:color="auto" w:fill="43C0B9"/>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43C0B9"/>
          </w:tcPr>
          <w:p>
            <w:pPr>
              <w:spacing w:after="0"/>
              <w:rPr>
                <w:sz w:val="17"/>
                <w:szCs w:val="17"/>
                <w:color w:val="auto"/>
              </w:rPr>
            </w:pPr>
          </w:p>
        </w:tc>
        <w:tc>
          <w:tcPr>
            <w:tcW w:w="140" w:type="dxa"/>
            <w:vAlign w:val="bottom"/>
            <w:shd w:val="clear" w:color="auto" w:fill="43C0B9"/>
          </w:tcPr>
          <w:p>
            <w:pPr>
              <w:spacing w:after="0"/>
              <w:rPr>
                <w:sz w:val="17"/>
                <w:szCs w:val="17"/>
                <w:color w:val="auto"/>
              </w:rPr>
            </w:pPr>
          </w:p>
        </w:tc>
        <w:tc>
          <w:tcPr>
            <w:tcW w:w="260" w:type="dxa"/>
            <w:vAlign w:val="bottom"/>
            <w:shd w:val="clear" w:color="auto" w:fill="43C0B9"/>
          </w:tcPr>
          <w:p>
            <w:pPr>
              <w:jc w:val="right"/>
              <w:spacing w:after="0"/>
              <w:rPr>
                <w:sz w:val="20"/>
                <w:szCs w:val="20"/>
                <w:color w:val="auto"/>
              </w:rPr>
            </w:pPr>
            <w:r>
              <w:rPr>
                <w:rFonts w:ascii="Arial" w:cs="Arial" w:eastAsia="Arial" w:hAnsi="Arial"/>
                <w:sz w:val="13"/>
                <w:szCs w:val="13"/>
                <w:color w:val="auto"/>
                <w:w w:val="99"/>
              </w:rPr>
              <w:t>6.0</w:t>
            </w:r>
          </w:p>
        </w:tc>
        <w:tc>
          <w:tcPr>
            <w:tcW w:w="940" w:type="dxa"/>
            <w:vAlign w:val="bottom"/>
            <w:shd w:val="clear" w:color="auto" w:fill="43C0B9"/>
          </w:tcPr>
          <w:p>
            <w:pPr>
              <w:spacing w:after="0"/>
              <w:rPr>
                <w:sz w:val="17"/>
                <w:szCs w:val="17"/>
                <w:color w:val="auto"/>
              </w:rPr>
            </w:pPr>
          </w:p>
        </w:tc>
        <w:tc>
          <w:tcPr>
            <w:tcW w:w="240" w:type="dxa"/>
            <w:vAlign w:val="bottom"/>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43C0B9"/>
          </w:tcPr>
          <w:p>
            <w:pPr>
              <w:spacing w:after="0"/>
              <w:rPr>
                <w:sz w:val="17"/>
                <w:szCs w:val="17"/>
                <w:color w:val="auto"/>
              </w:rPr>
            </w:pPr>
          </w:p>
        </w:tc>
        <w:tc>
          <w:tcPr>
            <w:tcW w:w="1000" w:type="dxa"/>
            <w:vAlign w:val="bottom"/>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r>
      <w:tr>
        <w:trPr>
          <w:trHeight w:val="183"/>
        </w:trPr>
        <w:tc>
          <w:tcPr>
            <w:tcW w:w="1820" w:type="dxa"/>
            <w:vAlign w:val="bottom"/>
            <w:tcBorders>
              <w:bottom w:val="single" w:sz="8" w:color="232F84"/>
            </w:tcBorders>
            <w:shd w:val="clear" w:color="auto" w:fill="232F84"/>
          </w:tcPr>
          <w:p>
            <w:pPr>
              <w:spacing w:after="0"/>
              <w:rPr>
                <w:sz w:val="15"/>
                <w:szCs w:val="15"/>
                <w:color w:val="auto"/>
              </w:rPr>
            </w:pPr>
          </w:p>
        </w:tc>
        <w:tc>
          <w:tcPr>
            <w:tcW w:w="280" w:type="dxa"/>
            <w:vAlign w:val="bottom"/>
            <w:tcBorders>
              <w:bottom w:val="single" w:sz="8" w:color="232F84"/>
            </w:tcBorders>
            <w:shd w:val="clear" w:color="auto" w:fill="232F84"/>
          </w:tcPr>
          <w:p>
            <w:pPr>
              <w:spacing w:after="0"/>
              <w:rPr>
                <w:sz w:val="15"/>
                <w:szCs w:val="15"/>
                <w:color w:val="auto"/>
              </w:rPr>
            </w:pPr>
          </w:p>
        </w:tc>
        <w:tc>
          <w:tcPr>
            <w:tcW w:w="580" w:type="dxa"/>
            <w:vAlign w:val="bottom"/>
            <w:tcBorders>
              <w:bottom w:val="single" w:sz="8" w:color="232F84"/>
            </w:tcBorders>
            <w:shd w:val="clear" w:color="auto" w:fill="232F84"/>
          </w:tcPr>
          <w:p>
            <w:pPr>
              <w:spacing w:after="0"/>
              <w:rPr>
                <w:sz w:val="15"/>
                <w:szCs w:val="15"/>
                <w:color w:val="auto"/>
              </w:rPr>
            </w:pPr>
          </w:p>
        </w:tc>
        <w:tc>
          <w:tcPr>
            <w:tcW w:w="240" w:type="dxa"/>
            <w:vAlign w:val="bottom"/>
            <w:tcBorders>
              <w:bottom w:val="single" w:sz="8" w:color="232F84"/>
            </w:tcBorders>
            <w:shd w:val="clear" w:color="auto" w:fill="232F84"/>
          </w:tcPr>
          <w:p>
            <w:pPr>
              <w:spacing w:after="0"/>
              <w:rPr>
                <w:sz w:val="15"/>
                <w:szCs w:val="15"/>
                <w:color w:val="auto"/>
              </w:rPr>
            </w:pPr>
          </w:p>
        </w:tc>
        <w:tc>
          <w:tcPr>
            <w:tcW w:w="140" w:type="dxa"/>
            <w:vAlign w:val="bottom"/>
            <w:tcBorders>
              <w:bottom w:val="single" w:sz="8" w:color="232F84"/>
            </w:tcBorders>
            <w:shd w:val="clear" w:color="auto" w:fill="232F84"/>
          </w:tcPr>
          <w:p>
            <w:pPr>
              <w:spacing w:after="0"/>
              <w:rPr>
                <w:sz w:val="15"/>
                <w:szCs w:val="15"/>
                <w:color w:val="auto"/>
              </w:rPr>
            </w:pPr>
          </w:p>
        </w:tc>
        <w:tc>
          <w:tcPr>
            <w:tcW w:w="2160" w:type="dxa"/>
            <w:vAlign w:val="bottom"/>
            <w:tcBorders>
              <w:bottom w:val="single" w:sz="8" w:color="232F84"/>
            </w:tcBorders>
            <w:gridSpan w:val="3"/>
            <w:shd w:val="clear" w:color="auto" w:fill="232F84"/>
          </w:tcPr>
          <w:p>
            <w:pPr>
              <w:jc w:val="right"/>
              <w:spacing w:after="0"/>
              <w:rPr>
                <w:sz w:val="20"/>
                <w:szCs w:val="20"/>
                <w:color w:val="auto"/>
              </w:rPr>
            </w:pPr>
            <w:r>
              <w:rPr>
                <w:rFonts w:ascii="Arial" w:cs="Arial" w:eastAsia="Arial" w:hAnsi="Arial"/>
                <w:sz w:val="13"/>
                <w:szCs w:val="13"/>
                <w:b w:val="1"/>
                <w:bCs w:val="1"/>
                <w:color w:val="FFFFFF"/>
                <w:w w:val="96"/>
              </w:rPr>
              <w:t>Three Months Ended April 30, 2020</w:t>
            </w:r>
          </w:p>
        </w:tc>
        <w:tc>
          <w:tcPr>
            <w:tcW w:w="200" w:type="dxa"/>
            <w:vAlign w:val="bottom"/>
            <w:tcBorders>
              <w:bottom w:val="single" w:sz="8" w:color="232F84"/>
            </w:tcBorders>
            <w:shd w:val="clear" w:color="auto" w:fill="232F84"/>
          </w:tcPr>
          <w:p>
            <w:pPr>
              <w:spacing w:after="0"/>
              <w:rPr>
                <w:sz w:val="15"/>
                <w:szCs w:val="15"/>
                <w:color w:val="auto"/>
              </w:rPr>
            </w:pPr>
          </w:p>
        </w:tc>
        <w:tc>
          <w:tcPr>
            <w:tcW w:w="980" w:type="dxa"/>
            <w:vAlign w:val="bottom"/>
            <w:tcBorders>
              <w:bottom w:val="single" w:sz="8" w:color="232F84"/>
            </w:tcBorders>
            <w:shd w:val="clear" w:color="auto" w:fill="232F84"/>
          </w:tcPr>
          <w:p>
            <w:pPr>
              <w:spacing w:after="0"/>
              <w:rPr>
                <w:sz w:val="15"/>
                <w:szCs w:val="15"/>
                <w:color w:val="auto"/>
              </w:rPr>
            </w:pPr>
          </w:p>
        </w:tc>
        <w:tc>
          <w:tcPr>
            <w:tcW w:w="660" w:type="dxa"/>
            <w:vAlign w:val="bottom"/>
            <w:tcBorders>
              <w:bottom w:val="single" w:sz="8" w:color="232F84"/>
            </w:tcBorders>
            <w:shd w:val="clear" w:color="auto" w:fill="232F84"/>
          </w:tcPr>
          <w:p>
            <w:pPr>
              <w:spacing w:after="0"/>
              <w:rPr>
                <w:sz w:val="15"/>
                <w:szCs w:val="15"/>
                <w:color w:val="auto"/>
              </w:rPr>
            </w:pPr>
          </w:p>
        </w:tc>
        <w:tc>
          <w:tcPr>
            <w:tcW w:w="640" w:type="dxa"/>
            <w:vAlign w:val="bottom"/>
            <w:tcBorders>
              <w:bottom w:val="single" w:sz="8" w:color="232F84"/>
            </w:tcBorders>
            <w:shd w:val="clear" w:color="auto" w:fill="232F84"/>
          </w:tcPr>
          <w:p>
            <w:pPr>
              <w:spacing w:after="0"/>
              <w:rPr>
                <w:sz w:val="15"/>
                <w:szCs w:val="15"/>
                <w:color w:val="auto"/>
              </w:rPr>
            </w:pPr>
          </w:p>
        </w:tc>
        <w:tc>
          <w:tcPr>
            <w:tcW w:w="2320" w:type="dxa"/>
            <w:vAlign w:val="bottom"/>
            <w:tcBorders>
              <w:bottom w:val="single" w:sz="8" w:color="232F84"/>
            </w:tcBorders>
            <w:gridSpan w:val="5"/>
            <w:shd w:val="clear" w:color="auto" w:fill="232F84"/>
          </w:tcPr>
          <w:p>
            <w:pPr>
              <w:jc w:val="right"/>
              <w:ind w:right="97"/>
              <w:spacing w:after="0"/>
              <w:rPr>
                <w:sz w:val="20"/>
                <w:szCs w:val="20"/>
                <w:color w:val="auto"/>
              </w:rPr>
            </w:pPr>
            <w:r>
              <w:rPr>
                <w:rFonts w:ascii="Arial" w:cs="Arial" w:eastAsia="Arial" w:hAnsi="Arial"/>
                <w:sz w:val="13"/>
                <w:szCs w:val="13"/>
                <w:b w:val="1"/>
                <w:bCs w:val="1"/>
                <w:color w:val="FFFFFF"/>
              </w:rPr>
              <w:t>Six Months Ended April 30, 2020</w:t>
            </w:r>
          </w:p>
        </w:tc>
        <w:tc>
          <w:tcPr>
            <w:tcW w:w="200" w:type="dxa"/>
            <w:vAlign w:val="bottom"/>
            <w:tcBorders>
              <w:bottom w:val="single" w:sz="8" w:color="232F84"/>
            </w:tcBorders>
            <w:shd w:val="clear" w:color="auto" w:fill="232F84"/>
          </w:tcPr>
          <w:p>
            <w:pPr>
              <w:spacing w:after="0"/>
              <w:rPr>
                <w:sz w:val="15"/>
                <w:szCs w:val="15"/>
                <w:color w:val="auto"/>
              </w:rPr>
            </w:pPr>
          </w:p>
        </w:tc>
        <w:tc>
          <w:tcPr>
            <w:tcW w:w="1000" w:type="dxa"/>
            <w:vAlign w:val="bottom"/>
            <w:tcBorders>
              <w:bottom w:val="single" w:sz="8" w:color="232F84"/>
            </w:tcBorders>
            <w:shd w:val="clear" w:color="auto" w:fill="232F84"/>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82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b w:val="1"/>
                <w:bCs w:val="1"/>
                <w:color w:val="auto"/>
              </w:rPr>
              <w:t>Equity method investees:</w:t>
            </w:r>
          </w:p>
        </w:tc>
        <w:tc>
          <w:tcPr>
            <w:tcW w:w="28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18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shd w:val="clear" w:color="auto" w:fill="43C0B9"/>
          </w:tcPr>
          <w:p>
            <w:pPr>
              <w:spacing w:after="0"/>
              <w:rPr>
                <w:sz w:val="15"/>
                <w:szCs w:val="15"/>
                <w:color w:val="auto"/>
              </w:rPr>
            </w:pPr>
          </w:p>
        </w:tc>
        <w:tc>
          <w:tcPr>
            <w:tcW w:w="640" w:type="dxa"/>
            <w:vAlign w:val="bottom"/>
            <w:tcBorders>
              <w:bottom w:val="single" w:sz="8" w:color="43C0B9"/>
            </w:tcBorders>
            <w:shd w:val="clear" w:color="auto" w:fill="43C0B9"/>
          </w:tcPr>
          <w:p>
            <w:pPr>
              <w:spacing w:after="0"/>
              <w:rPr>
                <w:sz w:val="15"/>
                <w:szCs w:val="15"/>
                <w:color w:val="auto"/>
              </w:rPr>
            </w:pPr>
          </w:p>
        </w:tc>
        <w:tc>
          <w:tcPr>
            <w:tcW w:w="7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260" w:type="dxa"/>
            <w:vAlign w:val="bottom"/>
            <w:tcBorders>
              <w:bottom w:val="single" w:sz="8" w:color="43C0B9"/>
            </w:tcBorders>
            <w:shd w:val="clear" w:color="auto" w:fill="43C0B9"/>
          </w:tcPr>
          <w:p>
            <w:pPr>
              <w:spacing w:after="0"/>
              <w:rPr>
                <w:sz w:val="15"/>
                <w:szCs w:val="15"/>
                <w:color w:val="auto"/>
              </w:rPr>
            </w:pPr>
          </w:p>
        </w:tc>
        <w:tc>
          <w:tcPr>
            <w:tcW w:w="94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1820" w:type="dxa"/>
            <w:vAlign w:val="bottom"/>
          </w:tcPr>
          <w:p>
            <w:pPr>
              <w:ind w:left="140"/>
              <w:spacing w:after="0"/>
              <w:rPr>
                <w:sz w:val="20"/>
                <w:szCs w:val="20"/>
                <w:color w:val="auto"/>
              </w:rPr>
            </w:pPr>
            <w:r>
              <w:rPr>
                <w:rFonts w:ascii="Arial" w:cs="Arial" w:eastAsia="Arial" w:hAnsi="Arial"/>
                <w:sz w:val="13"/>
                <w:szCs w:val="13"/>
                <w:color w:val="auto"/>
              </w:rPr>
              <w:t>Henry Avocado</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580" w:type="dxa"/>
            <w:vAlign w:val="bottom"/>
          </w:tcPr>
          <w:p>
            <w:pPr>
              <w:spacing w:after="0"/>
              <w:rPr>
                <w:sz w:val="15"/>
                <w:szCs w:val="15"/>
                <w:color w:val="auto"/>
              </w:rPr>
            </w:pPr>
          </w:p>
        </w:tc>
        <w:tc>
          <w:tcPr>
            <w:tcW w:w="240" w:type="dxa"/>
            <w:vAlign w:val="bottom"/>
          </w:tcPr>
          <w:p>
            <w:pPr>
              <w:jc w:val="right"/>
              <w:ind w:right="37"/>
              <w:spacing w:after="0"/>
              <w:rPr>
                <w:sz w:val="20"/>
                <w:szCs w:val="20"/>
                <w:color w:val="auto"/>
              </w:rPr>
            </w:pPr>
            <w:r>
              <w:rPr>
                <w:rFonts w:ascii="Arial" w:cs="Arial" w:eastAsia="Arial" w:hAnsi="Arial"/>
                <w:sz w:val="13"/>
                <w:szCs w:val="13"/>
                <w:color w:val="auto"/>
                <w:w w:val="91"/>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0.2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9"/>
              </w:rPr>
              <w:t>0.2</w:t>
            </w:r>
          </w:p>
        </w:tc>
        <w:tc>
          <w:tcPr>
            <w:tcW w:w="940" w:type="dxa"/>
            <w:vAlign w:val="bottom"/>
          </w:tcPr>
          <w:p>
            <w:pPr>
              <w:jc w:val="right"/>
              <w:ind w:right="71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30"/>
        </w:trPr>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183"/>
        </w:trPr>
        <w:tc>
          <w:tcPr>
            <w:tcW w:w="1820" w:type="dxa"/>
            <w:vAlign w:val="bottom"/>
            <w:tcBorders>
              <w:bottom w:val="single" w:sz="8" w:color="43C0B9"/>
            </w:tcBorders>
            <w:shd w:val="clear" w:color="auto" w:fill="43C0B9"/>
          </w:tcPr>
          <w:p>
            <w:pPr>
              <w:ind w:left="140"/>
              <w:spacing w:after="0"/>
              <w:rPr>
                <w:sz w:val="20"/>
                <w:szCs w:val="20"/>
                <w:color w:val="auto"/>
              </w:rPr>
            </w:pPr>
            <w:r>
              <w:rPr>
                <w:rFonts w:ascii="Arial" w:cs="Arial" w:eastAsia="Arial" w:hAnsi="Arial"/>
                <w:sz w:val="13"/>
                <w:szCs w:val="13"/>
                <w:color w:val="auto"/>
              </w:rPr>
              <w:t>Mr. Avocado</w:t>
            </w:r>
          </w:p>
        </w:tc>
        <w:tc>
          <w:tcPr>
            <w:tcW w:w="28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jc w:val="right"/>
              <w:ind w:right="37"/>
              <w:spacing w:after="0"/>
              <w:rPr>
                <w:sz w:val="20"/>
                <w:szCs w:val="20"/>
                <w:color w:val="auto"/>
              </w:rPr>
            </w:pPr>
            <w:r>
              <w:rPr>
                <w:rFonts w:ascii="Arial" w:cs="Arial" w:eastAsia="Arial" w:hAnsi="Arial"/>
                <w:sz w:val="13"/>
                <w:szCs w:val="13"/>
                <w:color w:val="auto"/>
                <w:w w:val="91"/>
              </w:rPr>
              <w:t>—</w:t>
            </w:r>
          </w:p>
        </w:tc>
        <w:tc>
          <w:tcPr>
            <w:tcW w:w="14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3C0B9"/>
            </w:tcBorders>
            <w:shd w:val="clear" w:color="auto" w:fill="43C0B9"/>
          </w:tcPr>
          <w:p>
            <w:pPr>
              <w:spacing w:after="0"/>
              <w:rPr>
                <w:sz w:val="15"/>
                <w:szCs w:val="15"/>
                <w:color w:val="auto"/>
              </w:rPr>
            </w:pPr>
          </w:p>
        </w:tc>
        <w:tc>
          <w:tcPr>
            <w:tcW w:w="640" w:type="dxa"/>
            <w:vAlign w:val="bottom"/>
            <w:tcBorders>
              <w:bottom w:val="single" w:sz="8" w:color="43C0B9"/>
            </w:tcBorders>
            <w:shd w:val="clear" w:color="auto" w:fill="43C0B9"/>
          </w:tcPr>
          <w:p>
            <w:pPr>
              <w:jc w:val="right"/>
              <w:ind w:right="37"/>
              <w:spacing w:after="0"/>
              <w:rPr>
                <w:sz w:val="20"/>
                <w:szCs w:val="20"/>
                <w:color w:val="auto"/>
              </w:rPr>
            </w:pPr>
            <w:r>
              <w:rPr>
                <w:rFonts w:ascii="Arial" w:cs="Arial" w:eastAsia="Arial" w:hAnsi="Arial"/>
                <w:sz w:val="13"/>
                <w:szCs w:val="13"/>
                <w:color w:val="auto"/>
              </w:rPr>
              <w:t>0.7</w:t>
            </w:r>
          </w:p>
        </w:tc>
        <w:tc>
          <w:tcPr>
            <w:tcW w:w="7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2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r>
      <w:tr>
        <w:trPr>
          <w:trHeight w:val="203"/>
        </w:trPr>
        <w:tc>
          <w:tcPr>
            <w:tcW w:w="1820" w:type="dxa"/>
            <w:vAlign w:val="bottom"/>
          </w:tcPr>
          <w:p>
            <w:pPr>
              <w:ind w:left="140"/>
              <w:spacing w:after="0"/>
              <w:rPr>
                <w:sz w:val="20"/>
                <w:szCs w:val="20"/>
                <w:color w:val="auto"/>
              </w:rPr>
            </w:pPr>
            <w:r>
              <w:rPr>
                <w:rFonts w:ascii="Arial" w:cs="Arial" w:eastAsia="Arial" w:hAnsi="Arial"/>
                <w:sz w:val="13"/>
                <w:szCs w:val="13"/>
                <w:color w:val="auto"/>
              </w:rPr>
              <w:t>Moruga</w:t>
            </w:r>
            <w:r>
              <w:rPr>
                <w:rFonts w:ascii="Arial" w:cs="Arial" w:eastAsia="Arial" w:hAnsi="Arial"/>
                <w:sz w:val="16"/>
                <w:szCs w:val="16"/>
                <w:color w:val="auto"/>
                <w:vertAlign w:val="superscript"/>
              </w:rPr>
              <w:t>(1)</w:t>
            </w:r>
          </w:p>
        </w:tc>
        <w:tc>
          <w:tcPr>
            <w:tcW w:w="280" w:type="dxa"/>
            <w:vAlign w:val="bottom"/>
          </w:tcPr>
          <w:p>
            <w:pPr>
              <w:spacing w:after="0"/>
              <w:rPr>
                <w:sz w:val="17"/>
                <w:szCs w:val="17"/>
                <w:color w:val="auto"/>
              </w:rPr>
            </w:pPr>
          </w:p>
        </w:tc>
        <w:tc>
          <w:tcPr>
            <w:tcW w:w="820" w:type="dxa"/>
            <w:vAlign w:val="bottom"/>
            <w:gridSpan w:val="2"/>
          </w:tcPr>
          <w:p>
            <w:pPr>
              <w:jc w:val="right"/>
              <w:ind w:right="37"/>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17"/>
                <w:szCs w:val="17"/>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7"/>
                <w:szCs w:val="17"/>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83"/>
        </w:trPr>
        <w:tc>
          <w:tcPr>
            <w:tcW w:w="182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b w:val="1"/>
                <w:bCs w:val="1"/>
                <w:color w:val="auto"/>
              </w:rPr>
              <w:t>Other:</w:t>
            </w:r>
          </w:p>
        </w:tc>
        <w:tc>
          <w:tcPr>
            <w:tcW w:w="280" w:type="dxa"/>
            <w:vAlign w:val="bottom"/>
            <w:tcBorders>
              <w:bottom w:val="single" w:sz="8" w:color="43C0B9"/>
            </w:tcBorders>
            <w:shd w:val="clear" w:color="auto" w:fill="43C0B9"/>
          </w:tcPr>
          <w:p>
            <w:pPr>
              <w:spacing w:after="0"/>
              <w:rPr>
                <w:sz w:val="15"/>
                <w:szCs w:val="15"/>
                <w:color w:val="auto"/>
              </w:rPr>
            </w:pPr>
          </w:p>
        </w:tc>
        <w:tc>
          <w:tcPr>
            <w:tcW w:w="58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18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shd w:val="clear" w:color="auto" w:fill="43C0B9"/>
          </w:tcPr>
          <w:p>
            <w:pPr>
              <w:spacing w:after="0"/>
              <w:rPr>
                <w:sz w:val="15"/>
                <w:szCs w:val="15"/>
                <w:color w:val="auto"/>
              </w:rPr>
            </w:pPr>
          </w:p>
        </w:tc>
        <w:tc>
          <w:tcPr>
            <w:tcW w:w="640" w:type="dxa"/>
            <w:vAlign w:val="bottom"/>
            <w:tcBorders>
              <w:bottom w:val="single" w:sz="8" w:color="43C0B9"/>
            </w:tcBorders>
            <w:shd w:val="clear" w:color="auto" w:fill="43C0B9"/>
          </w:tcPr>
          <w:p>
            <w:pPr>
              <w:spacing w:after="0"/>
              <w:rPr>
                <w:sz w:val="15"/>
                <w:szCs w:val="15"/>
                <w:color w:val="auto"/>
              </w:rPr>
            </w:pPr>
          </w:p>
        </w:tc>
        <w:tc>
          <w:tcPr>
            <w:tcW w:w="740" w:type="dxa"/>
            <w:vAlign w:val="bottom"/>
            <w:tcBorders>
              <w:bottom w:val="single" w:sz="8" w:color="43C0B9"/>
            </w:tcBorders>
            <w:shd w:val="clear" w:color="auto" w:fill="43C0B9"/>
          </w:tcPr>
          <w:p>
            <w:pPr>
              <w:spacing w:after="0"/>
              <w:rPr>
                <w:sz w:val="15"/>
                <w:szCs w:val="15"/>
                <w:color w:val="auto"/>
              </w:rPr>
            </w:pPr>
          </w:p>
        </w:tc>
        <w:tc>
          <w:tcPr>
            <w:tcW w:w="140" w:type="dxa"/>
            <w:vAlign w:val="bottom"/>
            <w:tcBorders>
              <w:bottom w:val="single" w:sz="8" w:color="43C0B9"/>
            </w:tcBorders>
            <w:shd w:val="clear" w:color="auto" w:fill="43C0B9"/>
          </w:tcPr>
          <w:p>
            <w:pPr>
              <w:spacing w:after="0"/>
              <w:rPr>
                <w:sz w:val="15"/>
                <w:szCs w:val="15"/>
                <w:color w:val="auto"/>
              </w:rPr>
            </w:pPr>
          </w:p>
        </w:tc>
        <w:tc>
          <w:tcPr>
            <w:tcW w:w="260" w:type="dxa"/>
            <w:vAlign w:val="bottom"/>
            <w:tcBorders>
              <w:bottom w:val="single" w:sz="8" w:color="43C0B9"/>
            </w:tcBorders>
            <w:shd w:val="clear" w:color="auto" w:fill="43C0B9"/>
          </w:tcPr>
          <w:p>
            <w:pPr>
              <w:spacing w:after="0"/>
              <w:rPr>
                <w:sz w:val="15"/>
                <w:szCs w:val="15"/>
                <w:color w:val="auto"/>
              </w:rPr>
            </w:pPr>
          </w:p>
        </w:tc>
        <w:tc>
          <w:tcPr>
            <w:tcW w:w="940" w:type="dxa"/>
            <w:vAlign w:val="bottom"/>
            <w:tcBorders>
              <w:bottom w:val="single" w:sz="8" w:color="43C0B9"/>
            </w:tcBorders>
            <w:shd w:val="clear" w:color="auto" w:fill="43C0B9"/>
          </w:tcPr>
          <w:p>
            <w:pPr>
              <w:spacing w:after="0"/>
              <w:rPr>
                <w:sz w:val="15"/>
                <w:szCs w:val="15"/>
                <w:color w:val="auto"/>
              </w:rPr>
            </w:pPr>
          </w:p>
        </w:tc>
        <w:tc>
          <w:tcPr>
            <w:tcW w:w="240" w:type="dxa"/>
            <w:vAlign w:val="bottom"/>
            <w:tcBorders>
              <w:bottom w:val="single" w:sz="8" w:color="43C0B9"/>
            </w:tcBorders>
            <w:shd w:val="clear" w:color="auto" w:fill="43C0B9"/>
          </w:tcPr>
          <w:p>
            <w:pPr>
              <w:spacing w:after="0"/>
              <w:rPr>
                <w:sz w:val="15"/>
                <w:szCs w:val="15"/>
                <w:color w:val="auto"/>
              </w:rPr>
            </w:pPr>
          </w:p>
        </w:tc>
        <w:tc>
          <w:tcPr>
            <w:tcW w:w="200" w:type="dxa"/>
            <w:vAlign w:val="bottom"/>
            <w:tcBorders>
              <w:bottom w:val="single" w:sz="8" w:color="43C0B9"/>
            </w:tcBorders>
            <w:shd w:val="clear" w:color="auto" w:fill="43C0B9"/>
          </w:tcPr>
          <w:p>
            <w:pPr>
              <w:spacing w:after="0"/>
              <w:rPr>
                <w:sz w:val="15"/>
                <w:szCs w:val="15"/>
                <w:color w:val="auto"/>
              </w:rPr>
            </w:pPr>
          </w:p>
        </w:tc>
        <w:tc>
          <w:tcPr>
            <w:tcW w:w="1000" w:type="dxa"/>
            <w:vAlign w:val="bottom"/>
            <w:tcBorders>
              <w:bottom w:val="single" w:sz="8" w:color="43C0B9"/>
            </w:tcBorders>
            <w:shd w:val="clear" w:color="auto" w:fill="43C0B9"/>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820" w:type="dxa"/>
            <w:vAlign w:val="bottom"/>
          </w:tcPr>
          <w:p>
            <w:pPr>
              <w:ind w:left="140"/>
              <w:spacing w:after="0"/>
              <w:rPr>
                <w:sz w:val="20"/>
                <w:szCs w:val="20"/>
                <w:color w:val="auto"/>
              </w:rPr>
            </w:pPr>
            <w:r>
              <w:rPr>
                <w:rFonts w:ascii="Arial" w:cs="Arial" w:eastAsia="Arial" w:hAnsi="Arial"/>
                <w:sz w:val="13"/>
                <w:szCs w:val="13"/>
                <w:color w:val="auto"/>
              </w:rPr>
              <w:t>Directors/Officers</w:t>
            </w:r>
            <w:r>
              <w:rPr>
                <w:rFonts w:ascii="Arial" w:cs="Arial" w:eastAsia="Arial" w:hAnsi="Arial"/>
                <w:sz w:val="16"/>
                <w:szCs w:val="16"/>
                <w:color w:val="auto"/>
                <w:vertAlign w:val="superscript"/>
              </w:rPr>
              <w:t>(2)</w:t>
            </w:r>
          </w:p>
        </w:tc>
        <w:tc>
          <w:tcPr>
            <w:tcW w:w="280" w:type="dxa"/>
            <w:vAlign w:val="bottom"/>
          </w:tcPr>
          <w:p>
            <w:pPr>
              <w:spacing w:after="0"/>
              <w:rPr>
                <w:sz w:val="19"/>
                <w:szCs w:val="19"/>
                <w:color w:val="auto"/>
              </w:rPr>
            </w:pPr>
          </w:p>
        </w:tc>
        <w:tc>
          <w:tcPr>
            <w:tcW w:w="820" w:type="dxa"/>
            <w:vAlign w:val="bottom"/>
            <w:gridSpan w:val="2"/>
          </w:tcPr>
          <w:p>
            <w:pPr>
              <w:jc w:val="right"/>
              <w:ind w:right="37"/>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9"/>
              </w:rPr>
              <w:t>2.4</w:t>
            </w:r>
          </w:p>
        </w:tc>
        <w:tc>
          <w:tcPr>
            <w:tcW w:w="9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8"/>
              </w:rPr>
              <w:t>0.1</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180" w:hanging="172"/>
        <w:spacing w:after="0"/>
        <w:tabs>
          <w:tab w:leader="none" w:pos="18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The Company has provided loans to Moruga Inc. S.A.C. to support growth and expansion projects, bearing interest at 6.5%, due December 31, 2022.</w:t>
      </w:r>
    </w:p>
    <w:p>
      <w:pPr>
        <w:spacing w:after="0" w:line="50" w:lineRule="exact"/>
        <w:rPr>
          <w:rFonts w:ascii="Arial" w:cs="Arial" w:eastAsia="Arial" w:hAnsi="Arial"/>
          <w:sz w:val="16"/>
          <w:szCs w:val="16"/>
          <w:color w:val="auto"/>
          <w:vertAlign w:val="superscript"/>
        </w:rPr>
      </w:pPr>
    </w:p>
    <w:p>
      <w:pPr>
        <w:ind w:left="180" w:right="80" w:hanging="172"/>
        <w:spacing w:after="0" w:line="223" w:lineRule="auto"/>
        <w:tabs>
          <w:tab w:leader="none" w:pos="185"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The Company purchases from and sells avocados to a small number of entities having full or partial ownership by some of our directors/officers. These transactions are made under substantially similar terms as with other growers and customers. The Company has entered into a consulting agreement with a director to provide consulting and advice on current business operations, as well as to analyze opportunities for fresh avocado farming and packing facilities in South and Central America.</w:t>
      </w:r>
    </w:p>
    <w:p>
      <w:pPr>
        <w:spacing w:after="0" w:line="50" w:lineRule="exact"/>
        <w:rPr>
          <w:rFonts w:ascii="Arial" w:cs="Arial" w:eastAsia="Arial" w:hAnsi="Arial"/>
          <w:sz w:val="16"/>
          <w:szCs w:val="16"/>
          <w:color w:val="auto"/>
          <w:vertAlign w:val="superscript"/>
        </w:rPr>
      </w:pPr>
    </w:p>
    <w:p>
      <w:pPr>
        <w:ind w:left="180" w:right="80" w:hanging="172"/>
        <w:spacing w:after="0" w:line="216" w:lineRule="auto"/>
        <w:tabs>
          <w:tab w:leader="none" w:pos="185"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The Company utilizes a transportation vendor in Mexico owned by key management employees under similar terms as other transportation vendors. The Company purchases avocados from a small number of entities having full or partial ownership by some employees. These transactions are made under substantially similar terms as with other growers.</w:t>
      </w:r>
    </w:p>
    <w:p>
      <w:pPr>
        <w:spacing w:after="0" w:line="18" w:lineRule="exact"/>
        <w:rPr>
          <w:rFonts w:ascii="Arial" w:cs="Arial" w:eastAsia="Arial" w:hAnsi="Arial"/>
          <w:sz w:val="16"/>
          <w:szCs w:val="16"/>
          <w:color w:val="auto"/>
          <w:vertAlign w:val="superscript"/>
        </w:rPr>
      </w:pPr>
    </w:p>
    <w:p>
      <w:pPr>
        <w:ind w:left="180" w:hanging="172"/>
        <w:spacing w:after="0"/>
        <w:tabs>
          <w:tab w:leader="none" w:pos="18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The Company has provided loans to Copaltas to support growth and expansion projects, bearing interest at 6.66%, due December 31, 2021.</w:t>
      </w:r>
    </w:p>
    <w:p>
      <w:pPr>
        <w:spacing w:after="0" w:line="200" w:lineRule="exact"/>
        <w:rPr>
          <w:sz w:val="20"/>
          <w:szCs w:val="20"/>
          <w:color w:val="auto"/>
        </w:rPr>
      </w:pPr>
    </w:p>
    <w:p>
      <w:pPr>
        <w:spacing w:after="0" w:line="288"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20"/>
          <w:szCs w:val="20"/>
          <w:b w:val="1"/>
          <w:bCs w:val="1"/>
          <w:color w:val="232F84"/>
        </w:rPr>
      </w:pPr>
      <w:r>
        <w:rPr>
          <w:rFonts w:ascii="Arial" w:cs="Arial" w:eastAsia="Arial" w:hAnsi="Arial"/>
          <w:sz w:val="20"/>
          <w:szCs w:val="20"/>
          <w:b w:val="1"/>
          <w:bCs w:val="1"/>
          <w:color w:val="232F84"/>
        </w:rPr>
        <w:t>Segment Information</w:t>
      </w:r>
    </w:p>
    <w:p>
      <w:pPr>
        <w:spacing w:after="0" w:line="245"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have two operating segments which are also reporting segments. Our reporting segments are presented based on how information is used by our CEO, who is the chief operating decision maker, to measure performance and allocate resources. These reporting segments are Marketing and Distribution and International Farming. Our Marketing and Distribution reporting segment sources fruit from growers and then distributes the fruit through our global distribution network. Our International Farming segment owns and operates avocado orchards (principally located in Peru) and supplies our Marketing and Distribution business with a stable supply of avocados. Substantially all of the avocados produced by our International Farming segment are sold to our Marketing and Distribution segment.</w:t>
      </w:r>
    </w:p>
    <w:p>
      <w:pPr>
        <w:spacing w:after="0" w:line="20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The CEO evaluates and monitors segment performance primarily through segment sales and segment adjusted earnings before interest expense, income taxes and depreciation and amortization (“adjusted EBITDA”). Management believes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202" w:lineRule="exact"/>
        <w:rPr>
          <w:sz w:val="20"/>
          <w:szCs w:val="20"/>
          <w:color w:val="auto"/>
        </w:rPr>
      </w:pPr>
    </w:p>
    <w:p>
      <w:pPr>
        <w:ind w:right="300" w:firstLine="648"/>
        <w:spacing w:after="0" w:line="253" w:lineRule="auto"/>
        <w:rPr>
          <w:sz w:val="20"/>
          <w:szCs w:val="20"/>
          <w:color w:val="auto"/>
        </w:rPr>
      </w:pPr>
      <w:r>
        <w:rPr>
          <w:rFonts w:ascii="Arial" w:cs="Arial" w:eastAsia="Arial" w:hAnsi="Arial"/>
          <w:sz w:val="16"/>
          <w:szCs w:val="16"/>
          <w:color w:val="auto"/>
        </w:rPr>
        <w:t>Adjusted EBITDA refers to net income (loss), before interest expense, income taxes, depreciation and amortization expense, stock-based compensation expense, other income (expense), and income (loss) from equity method investees, further adjusted by any special, non-recurring, or one-time items (impairment of equity method investment and legal settlement) that are distortive to results.</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77"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sales from each of our reportable segments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shd w:val="clear" w:color="auto" w:fill="232F84"/>
          </w:tcPr>
          <w:p>
            <w:pPr>
              <w:spacing w:after="0"/>
              <w:rPr>
                <w:sz w:val="15"/>
                <w:szCs w:val="15"/>
                <w:color w:val="auto"/>
              </w:rPr>
            </w:pPr>
          </w:p>
        </w:tc>
        <w:tc>
          <w:tcPr>
            <w:tcW w:w="220" w:type="dxa"/>
            <w:vAlign w:val="bottom"/>
            <w:shd w:val="clear" w:color="auto" w:fill="232F84"/>
          </w:tcPr>
          <w:p>
            <w:pPr>
              <w:spacing w:after="0"/>
              <w:rPr>
                <w:sz w:val="15"/>
                <w:szCs w:val="15"/>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200" w:type="dxa"/>
            <w:vAlign w:val="bottom"/>
            <w:shd w:val="clear" w:color="auto" w:fill="232F84"/>
          </w:tcPr>
          <w:p>
            <w:pPr>
              <w:spacing w:after="0"/>
              <w:rPr>
                <w:sz w:val="15"/>
                <w:szCs w:val="15"/>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International</w:t>
            </w:r>
          </w:p>
        </w:tc>
        <w:tc>
          <w:tcPr>
            <w:tcW w:w="200" w:type="dxa"/>
            <w:vAlign w:val="bottom"/>
            <w:shd w:val="clear" w:color="auto" w:fill="232F84"/>
          </w:tcPr>
          <w:p>
            <w:pPr>
              <w:spacing w:after="0"/>
              <w:rPr>
                <w:sz w:val="15"/>
                <w:szCs w:val="15"/>
                <w:color w:val="auto"/>
              </w:rPr>
            </w:pPr>
          </w:p>
        </w:tc>
        <w:tc>
          <w:tcPr>
            <w:tcW w:w="1120" w:type="dxa"/>
            <w:vAlign w:val="bottom"/>
            <w:shd w:val="clear" w:color="auto" w:fill="232F84"/>
          </w:tcPr>
          <w:p>
            <w:pPr>
              <w:spacing w:after="0"/>
              <w:rPr>
                <w:sz w:val="15"/>
                <w:szCs w:val="15"/>
                <w:color w:val="auto"/>
              </w:rPr>
            </w:pPr>
          </w:p>
        </w:tc>
        <w:tc>
          <w:tcPr>
            <w:tcW w:w="360" w:type="dxa"/>
            <w:vAlign w:val="bottom"/>
            <w:shd w:val="clear" w:color="auto" w:fill="232F84"/>
          </w:tcPr>
          <w:p>
            <w:pPr>
              <w:spacing w:after="0"/>
              <w:rPr>
                <w:sz w:val="15"/>
                <w:szCs w:val="15"/>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200" w:type="dxa"/>
            <w:vAlign w:val="bottom"/>
            <w:shd w:val="clear" w:color="auto" w:fill="232F84"/>
          </w:tcPr>
          <w:p>
            <w:pPr>
              <w:spacing w:after="0"/>
              <w:rPr>
                <w:sz w:val="15"/>
                <w:szCs w:val="15"/>
                <w:color w:val="auto"/>
              </w:rPr>
            </w:pPr>
          </w:p>
        </w:tc>
        <w:tc>
          <w:tcPr>
            <w:tcW w:w="10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International</w:t>
            </w:r>
          </w:p>
        </w:tc>
        <w:tc>
          <w:tcPr>
            <w:tcW w:w="420" w:type="dxa"/>
            <w:vAlign w:val="bottom"/>
            <w:shd w:val="clear" w:color="auto" w:fill="232F84"/>
          </w:tcPr>
          <w:p>
            <w:pPr>
              <w:spacing w:after="0"/>
              <w:rPr>
                <w:sz w:val="15"/>
                <w:szCs w:val="15"/>
                <w:color w:val="auto"/>
              </w:rPr>
            </w:pPr>
          </w:p>
        </w:tc>
        <w:tc>
          <w:tcPr>
            <w:tcW w:w="760" w:type="dxa"/>
            <w:vAlign w:val="bottom"/>
            <w:shd w:val="clear" w:color="auto" w:fill="232F84"/>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232F84"/>
          </w:tcPr>
          <w:p>
            <w:pPr>
              <w:spacing w:after="0"/>
              <w:rPr>
                <w:sz w:val="17"/>
                <w:szCs w:val="17"/>
                <w:color w:val="auto"/>
              </w:rPr>
            </w:pPr>
          </w:p>
        </w:tc>
        <w:tc>
          <w:tcPr>
            <w:tcW w:w="220" w:type="dxa"/>
            <w:vAlign w:val="bottom"/>
            <w:shd w:val="clear" w:color="auto" w:fill="232F84"/>
          </w:tcPr>
          <w:p>
            <w:pPr>
              <w:spacing w:after="0"/>
              <w:rPr>
                <w:sz w:val="17"/>
                <w:szCs w:val="17"/>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200" w:type="dxa"/>
            <w:vAlign w:val="bottom"/>
            <w:shd w:val="clear" w:color="auto" w:fill="232F84"/>
          </w:tcPr>
          <w:p>
            <w:pPr>
              <w:spacing w:after="0"/>
              <w:rPr>
                <w:sz w:val="17"/>
                <w:szCs w:val="17"/>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200" w:type="dxa"/>
            <w:vAlign w:val="bottom"/>
            <w:shd w:val="clear" w:color="auto" w:fill="232F84"/>
          </w:tcPr>
          <w:p>
            <w:pPr>
              <w:spacing w:after="0"/>
              <w:rPr>
                <w:sz w:val="17"/>
                <w:szCs w:val="17"/>
                <w:color w:val="auto"/>
              </w:rPr>
            </w:pPr>
          </w:p>
        </w:tc>
        <w:tc>
          <w:tcPr>
            <w:tcW w:w="112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360" w:type="dxa"/>
            <w:vAlign w:val="bottom"/>
            <w:shd w:val="clear" w:color="auto" w:fill="232F84"/>
          </w:tcPr>
          <w:p>
            <w:pPr>
              <w:spacing w:after="0"/>
              <w:rPr>
                <w:sz w:val="17"/>
                <w:szCs w:val="17"/>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200" w:type="dxa"/>
            <w:vAlign w:val="bottom"/>
            <w:shd w:val="clear" w:color="auto" w:fill="232F84"/>
          </w:tcPr>
          <w:p>
            <w:pPr>
              <w:spacing w:after="0"/>
              <w:rPr>
                <w:sz w:val="17"/>
                <w:szCs w:val="17"/>
                <w:color w:val="auto"/>
              </w:rPr>
            </w:pPr>
          </w:p>
        </w:tc>
        <w:tc>
          <w:tcPr>
            <w:tcW w:w="10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420" w:type="dxa"/>
            <w:vAlign w:val="bottom"/>
            <w:shd w:val="clear" w:color="auto" w:fill="232F84"/>
          </w:tcPr>
          <w:p>
            <w:pPr>
              <w:spacing w:after="0"/>
              <w:rPr>
                <w:sz w:val="17"/>
                <w:szCs w:val="17"/>
                <w:color w:val="auto"/>
              </w:rPr>
            </w:pPr>
          </w:p>
        </w:tc>
        <w:tc>
          <w:tcPr>
            <w:tcW w:w="7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4"/>
        </w:trPr>
        <w:tc>
          <w:tcPr>
            <w:tcW w:w="3840" w:type="dxa"/>
            <w:vAlign w:val="bottom"/>
            <w:shd w:val="clear" w:color="auto" w:fill="232F84"/>
          </w:tcPr>
          <w:p>
            <w:pPr>
              <w:spacing w:after="0"/>
              <w:rPr>
                <w:sz w:val="18"/>
                <w:szCs w:val="18"/>
                <w:color w:val="auto"/>
              </w:rPr>
            </w:pPr>
          </w:p>
        </w:tc>
        <w:tc>
          <w:tcPr>
            <w:tcW w:w="220" w:type="dxa"/>
            <w:vAlign w:val="bottom"/>
            <w:shd w:val="clear" w:color="auto" w:fill="232F84"/>
          </w:tcPr>
          <w:p>
            <w:pPr>
              <w:spacing w:after="0"/>
              <w:rPr>
                <w:sz w:val="18"/>
                <w:szCs w:val="18"/>
                <w:color w:val="auto"/>
              </w:rPr>
            </w:pPr>
          </w:p>
        </w:tc>
        <w:tc>
          <w:tcPr>
            <w:tcW w:w="980" w:type="dxa"/>
            <w:vAlign w:val="bottom"/>
            <w:shd w:val="clear" w:color="auto" w:fill="232F84"/>
          </w:tcPr>
          <w:p>
            <w:pPr>
              <w:spacing w:after="0"/>
              <w:rPr>
                <w:sz w:val="18"/>
                <w:szCs w:val="18"/>
                <w:color w:val="auto"/>
              </w:rPr>
            </w:pPr>
          </w:p>
        </w:tc>
        <w:tc>
          <w:tcPr>
            <w:tcW w:w="200" w:type="dxa"/>
            <w:vAlign w:val="bottom"/>
            <w:shd w:val="clear" w:color="auto" w:fill="232F84"/>
          </w:tcPr>
          <w:p>
            <w:pPr>
              <w:spacing w:after="0"/>
              <w:rPr>
                <w:sz w:val="18"/>
                <w:szCs w:val="18"/>
                <w:color w:val="auto"/>
              </w:rPr>
            </w:pPr>
          </w:p>
        </w:tc>
        <w:tc>
          <w:tcPr>
            <w:tcW w:w="980" w:type="dxa"/>
            <w:vAlign w:val="bottom"/>
            <w:shd w:val="clear" w:color="auto" w:fill="232F84"/>
          </w:tcPr>
          <w:p>
            <w:pPr>
              <w:spacing w:after="0"/>
              <w:rPr>
                <w:sz w:val="18"/>
                <w:szCs w:val="18"/>
                <w:color w:val="auto"/>
              </w:rPr>
            </w:pPr>
          </w:p>
        </w:tc>
        <w:tc>
          <w:tcPr>
            <w:tcW w:w="200" w:type="dxa"/>
            <w:vAlign w:val="bottom"/>
            <w:shd w:val="clear" w:color="auto" w:fill="232F84"/>
          </w:tcPr>
          <w:p>
            <w:pPr>
              <w:spacing w:after="0"/>
              <w:rPr>
                <w:sz w:val="18"/>
                <w:szCs w:val="18"/>
                <w:color w:val="auto"/>
              </w:rPr>
            </w:pPr>
          </w:p>
        </w:tc>
        <w:tc>
          <w:tcPr>
            <w:tcW w:w="2440" w:type="dxa"/>
            <w:vAlign w:val="bottom"/>
            <w:gridSpan w:val="3"/>
            <w:shd w:val="clear" w:color="auto" w:fill="232F84"/>
          </w:tcPr>
          <w:p>
            <w:pPr>
              <w:jc w:val="right"/>
              <w:ind w:right="228"/>
              <w:spacing w:after="0"/>
              <w:rPr>
                <w:sz w:val="20"/>
                <w:szCs w:val="20"/>
                <w:color w:val="auto"/>
              </w:rPr>
            </w:pPr>
            <w:r>
              <w:rPr>
                <w:rFonts w:ascii="Arial" w:cs="Arial" w:eastAsia="Arial" w:hAnsi="Arial"/>
                <w:sz w:val="14"/>
                <w:szCs w:val="14"/>
                <w:b w:val="1"/>
                <w:bCs w:val="1"/>
                <w:color w:val="FFFFFF"/>
              </w:rPr>
              <w:t>Three Months Ended April 30,</w:t>
            </w:r>
          </w:p>
        </w:tc>
        <w:tc>
          <w:tcPr>
            <w:tcW w:w="200" w:type="dxa"/>
            <w:vAlign w:val="bottom"/>
            <w:shd w:val="clear" w:color="auto" w:fill="232F84"/>
          </w:tcPr>
          <w:p>
            <w:pPr>
              <w:spacing w:after="0"/>
              <w:rPr>
                <w:sz w:val="18"/>
                <w:szCs w:val="18"/>
                <w:color w:val="auto"/>
              </w:rPr>
            </w:pPr>
          </w:p>
        </w:tc>
        <w:tc>
          <w:tcPr>
            <w:tcW w:w="1000" w:type="dxa"/>
            <w:vAlign w:val="bottom"/>
            <w:shd w:val="clear" w:color="auto" w:fill="232F84"/>
          </w:tcPr>
          <w:p>
            <w:pPr>
              <w:spacing w:after="0"/>
              <w:rPr>
                <w:sz w:val="18"/>
                <w:szCs w:val="18"/>
                <w:color w:val="auto"/>
              </w:rPr>
            </w:pPr>
          </w:p>
        </w:tc>
        <w:tc>
          <w:tcPr>
            <w:tcW w:w="420" w:type="dxa"/>
            <w:vAlign w:val="bottom"/>
            <w:shd w:val="clear" w:color="auto" w:fill="232F84"/>
          </w:tcPr>
          <w:p>
            <w:pPr>
              <w:spacing w:after="0"/>
              <w:rPr>
                <w:sz w:val="18"/>
                <w:szCs w:val="18"/>
                <w:color w:val="auto"/>
              </w:rPr>
            </w:pPr>
          </w:p>
        </w:tc>
        <w:tc>
          <w:tcPr>
            <w:tcW w:w="760" w:type="dxa"/>
            <w:vAlign w:val="bottom"/>
            <w:shd w:val="clear" w:color="auto" w:fill="232F84"/>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840" w:type="dxa"/>
            <w:vAlign w:val="bottom"/>
            <w:vMerge w:val="restart"/>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220" w:type="dxa"/>
            <w:vAlign w:val="bottom"/>
            <w:shd w:val="clear" w:color="auto" w:fill="232F84"/>
          </w:tcPr>
          <w:p>
            <w:pPr>
              <w:spacing w:after="0"/>
              <w:rPr>
                <w:sz w:val="2"/>
                <w:szCs w:val="2"/>
                <w:color w:val="auto"/>
              </w:rPr>
            </w:pPr>
          </w:p>
        </w:tc>
        <w:tc>
          <w:tcPr>
            <w:tcW w:w="980" w:type="dxa"/>
            <w:vAlign w:val="bottom"/>
            <w:shd w:val="clear" w:color="auto" w:fill="232F84"/>
          </w:tcPr>
          <w:p>
            <w:pPr>
              <w:spacing w:after="0"/>
              <w:rPr>
                <w:sz w:val="2"/>
                <w:szCs w:val="2"/>
                <w:color w:val="auto"/>
              </w:rPr>
            </w:pPr>
          </w:p>
        </w:tc>
        <w:tc>
          <w:tcPr>
            <w:tcW w:w="200" w:type="dxa"/>
            <w:vAlign w:val="bottom"/>
            <w:shd w:val="clear" w:color="auto" w:fill="232F84"/>
          </w:tcPr>
          <w:p>
            <w:pPr>
              <w:spacing w:after="0"/>
              <w:rPr>
                <w:sz w:val="2"/>
                <w:szCs w:val="2"/>
                <w:color w:val="auto"/>
              </w:rPr>
            </w:pPr>
          </w:p>
        </w:tc>
        <w:tc>
          <w:tcPr>
            <w:tcW w:w="980" w:type="dxa"/>
            <w:vAlign w:val="bottom"/>
            <w:shd w:val="clear" w:color="auto" w:fill="232F84"/>
          </w:tcPr>
          <w:p>
            <w:pPr>
              <w:spacing w:after="0"/>
              <w:rPr>
                <w:sz w:val="2"/>
                <w:szCs w:val="2"/>
                <w:color w:val="auto"/>
              </w:rPr>
            </w:pPr>
          </w:p>
        </w:tc>
        <w:tc>
          <w:tcPr>
            <w:tcW w:w="200" w:type="dxa"/>
            <w:vAlign w:val="bottom"/>
            <w:shd w:val="clear" w:color="auto" w:fill="232F84"/>
          </w:tcPr>
          <w:p>
            <w:pPr>
              <w:spacing w:after="0"/>
              <w:rPr>
                <w:sz w:val="2"/>
                <w:szCs w:val="2"/>
                <w:color w:val="auto"/>
              </w:rPr>
            </w:pPr>
          </w:p>
        </w:tc>
        <w:tc>
          <w:tcPr>
            <w:tcW w:w="1120" w:type="dxa"/>
            <w:vAlign w:val="bottom"/>
            <w:shd w:val="clear" w:color="auto" w:fill="232F84"/>
          </w:tcPr>
          <w:p>
            <w:pPr>
              <w:spacing w:after="0"/>
              <w:rPr>
                <w:sz w:val="2"/>
                <w:szCs w:val="2"/>
                <w:color w:val="auto"/>
              </w:rPr>
            </w:pPr>
          </w:p>
        </w:tc>
        <w:tc>
          <w:tcPr>
            <w:tcW w:w="360" w:type="dxa"/>
            <w:vAlign w:val="bottom"/>
            <w:shd w:val="clear" w:color="auto" w:fill="232F84"/>
          </w:tcPr>
          <w:p>
            <w:pPr>
              <w:spacing w:after="0"/>
              <w:rPr>
                <w:sz w:val="2"/>
                <w:szCs w:val="2"/>
                <w:color w:val="auto"/>
              </w:rPr>
            </w:pPr>
          </w:p>
        </w:tc>
        <w:tc>
          <w:tcPr>
            <w:tcW w:w="960" w:type="dxa"/>
            <w:vAlign w:val="bottom"/>
            <w:shd w:val="clear" w:color="auto" w:fill="232F84"/>
          </w:tcPr>
          <w:p>
            <w:pPr>
              <w:spacing w:after="0"/>
              <w:rPr>
                <w:sz w:val="2"/>
                <w:szCs w:val="2"/>
                <w:color w:val="auto"/>
              </w:rPr>
            </w:pPr>
          </w:p>
        </w:tc>
        <w:tc>
          <w:tcPr>
            <w:tcW w:w="200" w:type="dxa"/>
            <w:vAlign w:val="bottom"/>
            <w:shd w:val="clear" w:color="auto" w:fill="232F84"/>
          </w:tcPr>
          <w:p>
            <w:pPr>
              <w:spacing w:after="0"/>
              <w:rPr>
                <w:sz w:val="2"/>
                <w:szCs w:val="2"/>
                <w:color w:val="auto"/>
              </w:rPr>
            </w:pPr>
          </w:p>
        </w:tc>
        <w:tc>
          <w:tcPr>
            <w:tcW w:w="1000" w:type="dxa"/>
            <w:vAlign w:val="bottom"/>
            <w:shd w:val="clear" w:color="auto" w:fill="232F84"/>
          </w:tcPr>
          <w:p>
            <w:pPr>
              <w:spacing w:after="0"/>
              <w:rPr>
                <w:sz w:val="2"/>
                <w:szCs w:val="2"/>
                <w:color w:val="auto"/>
              </w:rPr>
            </w:pPr>
          </w:p>
        </w:tc>
        <w:tc>
          <w:tcPr>
            <w:tcW w:w="420" w:type="dxa"/>
            <w:vAlign w:val="bottom"/>
            <w:shd w:val="clear" w:color="auto" w:fill="232F84"/>
          </w:tcPr>
          <w:p>
            <w:pPr>
              <w:spacing w:after="0"/>
              <w:rPr>
                <w:sz w:val="2"/>
                <w:szCs w:val="2"/>
                <w:color w:val="auto"/>
              </w:rPr>
            </w:pPr>
          </w:p>
        </w:tc>
        <w:tc>
          <w:tcPr>
            <w:tcW w:w="760" w:type="dxa"/>
            <w:vAlign w:val="bottom"/>
            <w:shd w:val="clear" w:color="auto" w:fill="232F8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vMerge w:val="continue"/>
            <w:shd w:val="clear" w:color="auto" w:fill="232F84"/>
          </w:tcPr>
          <w:p>
            <w:pPr>
              <w:spacing w:after="0"/>
              <w:rPr>
                <w:sz w:val="18"/>
                <w:szCs w:val="18"/>
                <w:color w:val="auto"/>
              </w:rPr>
            </w:pPr>
          </w:p>
        </w:tc>
        <w:tc>
          <w:tcPr>
            <w:tcW w:w="220" w:type="dxa"/>
            <w:vAlign w:val="bottom"/>
            <w:shd w:val="clear" w:color="auto" w:fill="232F84"/>
          </w:tcPr>
          <w:p>
            <w:pPr>
              <w:spacing w:after="0"/>
              <w:rPr>
                <w:sz w:val="18"/>
                <w:szCs w:val="18"/>
                <w:color w:val="auto"/>
              </w:rPr>
            </w:pPr>
          </w:p>
        </w:tc>
        <w:tc>
          <w:tcPr>
            <w:tcW w:w="980" w:type="dxa"/>
            <w:vAlign w:val="bottom"/>
            <w:shd w:val="clear" w:color="auto" w:fill="232F84"/>
          </w:tcPr>
          <w:p>
            <w:pPr>
              <w:spacing w:after="0"/>
              <w:rPr>
                <w:sz w:val="18"/>
                <w:szCs w:val="18"/>
                <w:color w:val="auto"/>
              </w:rPr>
            </w:pPr>
          </w:p>
        </w:tc>
        <w:tc>
          <w:tcPr>
            <w:tcW w:w="200" w:type="dxa"/>
            <w:vAlign w:val="bottom"/>
            <w:shd w:val="clear" w:color="auto" w:fill="232F84"/>
          </w:tcPr>
          <w:p>
            <w:pPr>
              <w:spacing w:after="0"/>
              <w:rPr>
                <w:sz w:val="18"/>
                <w:szCs w:val="18"/>
                <w:color w:val="auto"/>
              </w:rPr>
            </w:pPr>
          </w:p>
        </w:tc>
        <w:tc>
          <w:tcPr>
            <w:tcW w:w="980" w:type="dxa"/>
            <w:vAlign w:val="bottom"/>
            <w:shd w:val="clear" w:color="auto" w:fill="232F84"/>
          </w:tcPr>
          <w:p>
            <w:pPr>
              <w:jc w:val="right"/>
              <w:ind w:right="368"/>
              <w:spacing w:after="0"/>
              <w:rPr>
                <w:sz w:val="20"/>
                <w:szCs w:val="20"/>
                <w:color w:val="auto"/>
              </w:rPr>
            </w:pPr>
            <w:r>
              <w:rPr>
                <w:rFonts w:ascii="Arial" w:cs="Arial" w:eastAsia="Arial" w:hAnsi="Arial"/>
                <w:sz w:val="14"/>
                <w:szCs w:val="14"/>
                <w:b w:val="1"/>
                <w:bCs w:val="1"/>
                <w:color w:val="FFFFFF"/>
              </w:rPr>
              <w:t>2021</w:t>
            </w:r>
          </w:p>
        </w:tc>
        <w:tc>
          <w:tcPr>
            <w:tcW w:w="200" w:type="dxa"/>
            <w:vAlign w:val="bottom"/>
            <w:shd w:val="clear" w:color="auto" w:fill="232F84"/>
          </w:tcPr>
          <w:p>
            <w:pPr>
              <w:spacing w:after="0"/>
              <w:rPr>
                <w:sz w:val="18"/>
                <w:szCs w:val="18"/>
                <w:color w:val="auto"/>
              </w:rPr>
            </w:pPr>
          </w:p>
        </w:tc>
        <w:tc>
          <w:tcPr>
            <w:tcW w:w="1120" w:type="dxa"/>
            <w:vAlign w:val="bottom"/>
            <w:shd w:val="clear" w:color="auto" w:fill="232F84"/>
          </w:tcPr>
          <w:p>
            <w:pPr>
              <w:spacing w:after="0"/>
              <w:rPr>
                <w:sz w:val="18"/>
                <w:szCs w:val="18"/>
                <w:color w:val="auto"/>
              </w:rPr>
            </w:pPr>
          </w:p>
        </w:tc>
        <w:tc>
          <w:tcPr>
            <w:tcW w:w="360" w:type="dxa"/>
            <w:vAlign w:val="bottom"/>
            <w:shd w:val="clear" w:color="auto" w:fill="232F84"/>
          </w:tcPr>
          <w:p>
            <w:pPr>
              <w:spacing w:after="0"/>
              <w:rPr>
                <w:sz w:val="18"/>
                <w:szCs w:val="18"/>
                <w:color w:val="auto"/>
              </w:rPr>
            </w:pPr>
          </w:p>
        </w:tc>
        <w:tc>
          <w:tcPr>
            <w:tcW w:w="960" w:type="dxa"/>
            <w:vAlign w:val="bottom"/>
            <w:shd w:val="clear" w:color="auto" w:fill="232F84"/>
          </w:tcPr>
          <w:p>
            <w:pPr>
              <w:spacing w:after="0"/>
              <w:rPr>
                <w:sz w:val="18"/>
                <w:szCs w:val="18"/>
                <w:color w:val="auto"/>
              </w:rPr>
            </w:pPr>
          </w:p>
        </w:tc>
        <w:tc>
          <w:tcPr>
            <w:tcW w:w="200" w:type="dxa"/>
            <w:vAlign w:val="bottom"/>
            <w:shd w:val="clear" w:color="auto" w:fill="232F84"/>
          </w:tcPr>
          <w:p>
            <w:pPr>
              <w:spacing w:after="0"/>
              <w:rPr>
                <w:sz w:val="18"/>
                <w:szCs w:val="18"/>
                <w:color w:val="auto"/>
              </w:rPr>
            </w:pPr>
          </w:p>
        </w:tc>
        <w:tc>
          <w:tcPr>
            <w:tcW w:w="1000" w:type="dxa"/>
            <w:vAlign w:val="bottom"/>
            <w:shd w:val="clear" w:color="auto" w:fill="232F84"/>
          </w:tcPr>
          <w:p>
            <w:pPr>
              <w:jc w:val="right"/>
              <w:ind w:right="368"/>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232F84"/>
          </w:tcPr>
          <w:p>
            <w:pPr>
              <w:spacing w:after="0"/>
              <w:rPr>
                <w:sz w:val="18"/>
                <w:szCs w:val="18"/>
                <w:color w:val="auto"/>
              </w:rPr>
            </w:pPr>
          </w:p>
        </w:tc>
        <w:tc>
          <w:tcPr>
            <w:tcW w:w="760" w:type="dxa"/>
            <w:vAlign w:val="bottom"/>
            <w:shd w:val="clear" w:color="auto" w:fill="232F8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Third party sales</w:t>
            </w:r>
          </w:p>
        </w:tc>
        <w:tc>
          <w:tcPr>
            <w:tcW w:w="2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232.4</w:t>
            </w:r>
          </w:p>
        </w:tc>
        <w:tc>
          <w:tcPr>
            <w:tcW w:w="20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43C0B9"/>
          </w:tcPr>
          <w:p>
            <w:pPr>
              <w:jc w:val="center"/>
              <w:ind w:left="588"/>
              <w:spacing w:after="0"/>
              <w:rPr>
                <w:sz w:val="20"/>
                <w:szCs w:val="20"/>
                <w:color w:val="auto"/>
              </w:rPr>
            </w:pPr>
            <w:r>
              <w:rPr>
                <w:rFonts w:ascii="Arial" w:cs="Arial" w:eastAsia="Arial" w:hAnsi="Arial"/>
                <w:sz w:val="14"/>
                <w:szCs w:val="14"/>
                <w:color w:val="auto"/>
              </w:rPr>
              <w:t>2.3</w:t>
            </w:r>
          </w:p>
        </w:tc>
        <w:tc>
          <w:tcPr>
            <w:tcW w:w="2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234.7</w:t>
            </w:r>
          </w:p>
        </w:tc>
        <w:tc>
          <w:tcPr>
            <w:tcW w:w="36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219.5</w:t>
            </w:r>
          </w:p>
        </w:tc>
        <w:tc>
          <w:tcPr>
            <w:tcW w:w="2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43C0B9"/>
          </w:tcPr>
          <w:p>
            <w:pPr>
              <w:jc w:val="center"/>
              <w:ind w:left="568"/>
              <w:spacing w:after="0"/>
              <w:rPr>
                <w:sz w:val="20"/>
                <w:szCs w:val="20"/>
                <w:color w:val="auto"/>
              </w:rPr>
            </w:pPr>
            <w:r>
              <w:rPr>
                <w:rFonts w:ascii="Arial" w:cs="Arial" w:eastAsia="Arial" w:hAnsi="Arial"/>
                <w:sz w:val="14"/>
                <w:szCs w:val="14"/>
                <w:color w:val="auto"/>
              </w:rPr>
              <w:t>2.1</w:t>
            </w:r>
          </w:p>
        </w:tc>
        <w:tc>
          <w:tcPr>
            <w:tcW w:w="420" w:type="dxa"/>
            <w:vAlign w:val="bottom"/>
            <w:shd w:val="clear" w:color="auto" w:fill="43C0B9"/>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Affiliated sales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color w:val="auto"/>
              </w:rPr>
              <w:t>0.3</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6"/>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segment sales</w:t>
            </w:r>
          </w:p>
        </w:tc>
        <w:tc>
          <w:tcPr>
            <w:tcW w:w="220" w:type="dxa"/>
            <w:vAlign w:val="bottom"/>
            <w:shd w:val="clear" w:color="auto" w:fill="43C0B9"/>
          </w:tcPr>
          <w:p>
            <w:pPr>
              <w:spacing w:after="0"/>
              <w:rPr>
                <w:sz w:val="18"/>
                <w:szCs w:val="18"/>
                <w:color w:val="auto"/>
              </w:rPr>
            </w:pPr>
          </w:p>
        </w:tc>
        <w:tc>
          <w:tcPr>
            <w:tcW w:w="9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232.4</w:t>
            </w:r>
          </w:p>
        </w:tc>
        <w:tc>
          <w:tcPr>
            <w:tcW w:w="200" w:type="dxa"/>
            <w:vAlign w:val="bottom"/>
            <w:shd w:val="clear" w:color="auto" w:fill="43C0B9"/>
          </w:tcPr>
          <w:p>
            <w:pPr>
              <w:spacing w:after="0"/>
              <w:rPr>
                <w:sz w:val="18"/>
                <w:szCs w:val="18"/>
                <w:color w:val="auto"/>
              </w:rPr>
            </w:pPr>
          </w:p>
        </w:tc>
        <w:tc>
          <w:tcPr>
            <w:tcW w:w="980" w:type="dxa"/>
            <w:vAlign w:val="bottom"/>
            <w:shd w:val="clear" w:color="auto" w:fill="43C0B9"/>
          </w:tcPr>
          <w:p>
            <w:pPr>
              <w:jc w:val="center"/>
              <w:ind w:left="588"/>
              <w:spacing w:after="0"/>
              <w:rPr>
                <w:sz w:val="20"/>
                <w:szCs w:val="20"/>
                <w:color w:val="auto"/>
              </w:rPr>
            </w:pPr>
            <w:r>
              <w:rPr>
                <w:rFonts w:ascii="Arial" w:cs="Arial" w:eastAsia="Arial" w:hAnsi="Arial"/>
                <w:sz w:val="14"/>
                <w:szCs w:val="14"/>
                <w:color w:val="auto"/>
              </w:rPr>
              <w:t>4.3</w:t>
            </w:r>
          </w:p>
        </w:tc>
        <w:tc>
          <w:tcPr>
            <w:tcW w:w="200" w:type="dxa"/>
            <w:vAlign w:val="bottom"/>
            <w:shd w:val="clear" w:color="auto" w:fill="43C0B9"/>
          </w:tcPr>
          <w:p>
            <w:pPr>
              <w:spacing w:after="0"/>
              <w:rPr>
                <w:sz w:val="18"/>
                <w:szCs w:val="18"/>
                <w:color w:val="auto"/>
              </w:rPr>
            </w:pPr>
          </w:p>
        </w:tc>
        <w:tc>
          <w:tcPr>
            <w:tcW w:w="112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236.7</w:t>
            </w:r>
          </w:p>
        </w:tc>
        <w:tc>
          <w:tcPr>
            <w:tcW w:w="360" w:type="dxa"/>
            <w:vAlign w:val="bottom"/>
            <w:shd w:val="clear" w:color="auto" w:fill="43C0B9"/>
          </w:tcPr>
          <w:p>
            <w:pPr>
              <w:spacing w:after="0"/>
              <w:rPr>
                <w:sz w:val="18"/>
                <w:szCs w:val="18"/>
                <w:color w:val="auto"/>
              </w:rPr>
            </w:pPr>
          </w:p>
        </w:tc>
        <w:tc>
          <w:tcPr>
            <w:tcW w:w="9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219.5</w:t>
            </w:r>
          </w:p>
        </w:tc>
        <w:tc>
          <w:tcPr>
            <w:tcW w:w="200" w:type="dxa"/>
            <w:vAlign w:val="bottom"/>
            <w:shd w:val="clear" w:color="auto" w:fill="43C0B9"/>
          </w:tcPr>
          <w:p>
            <w:pPr>
              <w:spacing w:after="0"/>
              <w:rPr>
                <w:sz w:val="18"/>
                <w:szCs w:val="18"/>
                <w:color w:val="auto"/>
              </w:rPr>
            </w:pPr>
          </w:p>
        </w:tc>
        <w:tc>
          <w:tcPr>
            <w:tcW w:w="1000" w:type="dxa"/>
            <w:vAlign w:val="bottom"/>
            <w:shd w:val="clear" w:color="auto" w:fill="43C0B9"/>
          </w:tcPr>
          <w:p>
            <w:pPr>
              <w:jc w:val="center"/>
              <w:ind w:left="568"/>
              <w:spacing w:after="0"/>
              <w:rPr>
                <w:sz w:val="20"/>
                <w:szCs w:val="20"/>
                <w:color w:val="auto"/>
              </w:rPr>
            </w:pPr>
            <w:r>
              <w:rPr>
                <w:rFonts w:ascii="Arial" w:cs="Arial" w:eastAsia="Arial" w:hAnsi="Arial"/>
                <w:sz w:val="14"/>
                <w:szCs w:val="14"/>
                <w:color w:val="auto"/>
              </w:rPr>
              <w:t>2.4</w:t>
            </w:r>
          </w:p>
        </w:tc>
        <w:tc>
          <w:tcPr>
            <w:tcW w:w="420" w:type="dxa"/>
            <w:vAlign w:val="bottom"/>
            <w:shd w:val="clear" w:color="auto" w:fill="43C0B9"/>
          </w:tcPr>
          <w:p>
            <w:pPr>
              <w:spacing w:after="0"/>
              <w:rPr>
                <w:sz w:val="18"/>
                <w:szCs w:val="18"/>
                <w:color w:val="auto"/>
              </w:rPr>
            </w:pPr>
          </w:p>
        </w:tc>
        <w:tc>
          <w:tcPr>
            <w:tcW w:w="7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Intercompany eliminations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(0.3)</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9"/>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net sales</w:t>
            </w:r>
          </w:p>
        </w:tc>
        <w:tc>
          <w:tcPr>
            <w:tcW w:w="2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232.4</w:t>
            </w:r>
          </w:p>
        </w:tc>
        <w:tc>
          <w:tcPr>
            <w:tcW w:w="20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43C0B9"/>
          </w:tcPr>
          <w:p>
            <w:pPr>
              <w:jc w:val="center"/>
              <w:ind w:left="588"/>
              <w:spacing w:after="0"/>
              <w:rPr>
                <w:sz w:val="20"/>
                <w:szCs w:val="20"/>
                <w:color w:val="auto"/>
              </w:rPr>
            </w:pPr>
            <w:r>
              <w:rPr>
                <w:rFonts w:ascii="Arial" w:cs="Arial" w:eastAsia="Arial" w:hAnsi="Arial"/>
                <w:sz w:val="14"/>
                <w:szCs w:val="14"/>
                <w:color w:val="auto"/>
              </w:rPr>
              <w:t>2.3</w:t>
            </w:r>
          </w:p>
        </w:tc>
        <w:tc>
          <w:tcPr>
            <w:tcW w:w="2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234.7</w:t>
            </w:r>
          </w:p>
        </w:tc>
        <w:tc>
          <w:tcPr>
            <w:tcW w:w="36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219.5</w:t>
            </w:r>
          </w:p>
        </w:tc>
        <w:tc>
          <w:tcPr>
            <w:tcW w:w="2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43C0B9"/>
          </w:tcPr>
          <w:p>
            <w:pPr>
              <w:jc w:val="center"/>
              <w:ind w:left="568"/>
              <w:spacing w:after="0"/>
              <w:rPr>
                <w:sz w:val="20"/>
                <w:szCs w:val="20"/>
                <w:color w:val="auto"/>
              </w:rPr>
            </w:pPr>
            <w:r>
              <w:rPr>
                <w:rFonts w:ascii="Arial" w:cs="Arial" w:eastAsia="Arial" w:hAnsi="Arial"/>
                <w:sz w:val="14"/>
                <w:szCs w:val="14"/>
                <w:color w:val="auto"/>
              </w:rPr>
              <w:t>2.1</w:t>
            </w:r>
          </w:p>
        </w:tc>
        <w:tc>
          <w:tcPr>
            <w:tcW w:w="420" w:type="dxa"/>
            <w:vAlign w:val="bottom"/>
            <w:shd w:val="clear" w:color="auto" w:fill="43C0B9"/>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26"/>
        </w:trPr>
        <w:tc>
          <w:tcPr>
            <w:tcW w:w="3840" w:type="dxa"/>
            <w:vAlign w:val="bottom"/>
            <w:shd w:val="clear" w:color="auto" w:fill="232F84"/>
          </w:tcPr>
          <w:p>
            <w:pPr>
              <w:spacing w:after="0"/>
              <w:rPr>
                <w:sz w:val="19"/>
                <w:szCs w:val="19"/>
                <w:color w:val="auto"/>
              </w:rPr>
            </w:pPr>
          </w:p>
        </w:tc>
        <w:tc>
          <w:tcPr>
            <w:tcW w:w="220" w:type="dxa"/>
            <w:vAlign w:val="bottom"/>
            <w:shd w:val="clear" w:color="auto" w:fill="232F84"/>
          </w:tcPr>
          <w:p>
            <w:pPr>
              <w:spacing w:after="0"/>
              <w:rPr>
                <w:sz w:val="19"/>
                <w:szCs w:val="19"/>
                <w:color w:val="auto"/>
              </w:rPr>
            </w:pPr>
          </w:p>
        </w:tc>
        <w:tc>
          <w:tcPr>
            <w:tcW w:w="980" w:type="dxa"/>
            <w:vAlign w:val="bottom"/>
            <w:shd w:val="clear" w:color="auto" w:fill="232F84"/>
          </w:tcPr>
          <w:p>
            <w:pPr>
              <w:spacing w:after="0"/>
              <w:rPr>
                <w:sz w:val="19"/>
                <w:szCs w:val="19"/>
                <w:color w:val="auto"/>
              </w:rPr>
            </w:pPr>
          </w:p>
        </w:tc>
        <w:tc>
          <w:tcPr>
            <w:tcW w:w="200" w:type="dxa"/>
            <w:vAlign w:val="bottom"/>
            <w:shd w:val="clear" w:color="auto" w:fill="232F84"/>
          </w:tcPr>
          <w:p>
            <w:pPr>
              <w:spacing w:after="0"/>
              <w:rPr>
                <w:sz w:val="19"/>
                <w:szCs w:val="19"/>
                <w:color w:val="auto"/>
              </w:rPr>
            </w:pPr>
          </w:p>
        </w:tc>
        <w:tc>
          <w:tcPr>
            <w:tcW w:w="980" w:type="dxa"/>
            <w:vAlign w:val="bottom"/>
            <w:shd w:val="clear" w:color="auto" w:fill="232F84"/>
          </w:tcPr>
          <w:p>
            <w:pPr>
              <w:spacing w:after="0"/>
              <w:rPr>
                <w:sz w:val="19"/>
                <w:szCs w:val="19"/>
                <w:color w:val="auto"/>
              </w:rPr>
            </w:pPr>
          </w:p>
        </w:tc>
        <w:tc>
          <w:tcPr>
            <w:tcW w:w="200" w:type="dxa"/>
            <w:vAlign w:val="bottom"/>
            <w:shd w:val="clear" w:color="auto" w:fill="232F84"/>
          </w:tcPr>
          <w:p>
            <w:pPr>
              <w:spacing w:after="0"/>
              <w:rPr>
                <w:sz w:val="19"/>
                <w:szCs w:val="19"/>
                <w:color w:val="auto"/>
              </w:rPr>
            </w:pPr>
          </w:p>
        </w:tc>
        <w:tc>
          <w:tcPr>
            <w:tcW w:w="2440" w:type="dxa"/>
            <w:vAlign w:val="bottom"/>
            <w:gridSpan w:val="3"/>
            <w:shd w:val="clear" w:color="auto" w:fill="232F84"/>
          </w:tcPr>
          <w:p>
            <w:pPr>
              <w:jc w:val="right"/>
              <w:ind w:right="328"/>
              <w:spacing w:after="0"/>
              <w:rPr>
                <w:sz w:val="20"/>
                <w:szCs w:val="20"/>
                <w:color w:val="auto"/>
              </w:rPr>
            </w:pPr>
            <w:r>
              <w:rPr>
                <w:rFonts w:ascii="Arial" w:cs="Arial" w:eastAsia="Arial" w:hAnsi="Arial"/>
                <w:sz w:val="14"/>
                <w:szCs w:val="14"/>
                <w:b w:val="1"/>
                <w:bCs w:val="1"/>
                <w:color w:val="FFFFFF"/>
              </w:rPr>
              <w:t>Six Months Ended April 30,</w:t>
            </w:r>
          </w:p>
        </w:tc>
        <w:tc>
          <w:tcPr>
            <w:tcW w:w="200" w:type="dxa"/>
            <w:vAlign w:val="bottom"/>
            <w:shd w:val="clear" w:color="auto" w:fill="232F84"/>
          </w:tcPr>
          <w:p>
            <w:pPr>
              <w:spacing w:after="0"/>
              <w:rPr>
                <w:sz w:val="19"/>
                <w:szCs w:val="19"/>
                <w:color w:val="auto"/>
              </w:rPr>
            </w:pPr>
          </w:p>
        </w:tc>
        <w:tc>
          <w:tcPr>
            <w:tcW w:w="1000" w:type="dxa"/>
            <w:vAlign w:val="bottom"/>
            <w:shd w:val="clear" w:color="auto" w:fill="232F84"/>
          </w:tcPr>
          <w:p>
            <w:pPr>
              <w:spacing w:after="0"/>
              <w:rPr>
                <w:sz w:val="19"/>
                <w:szCs w:val="19"/>
                <w:color w:val="auto"/>
              </w:rPr>
            </w:pPr>
          </w:p>
        </w:tc>
        <w:tc>
          <w:tcPr>
            <w:tcW w:w="420" w:type="dxa"/>
            <w:vAlign w:val="bottom"/>
            <w:shd w:val="clear" w:color="auto" w:fill="232F84"/>
          </w:tcPr>
          <w:p>
            <w:pPr>
              <w:spacing w:after="0"/>
              <w:rPr>
                <w:sz w:val="19"/>
                <w:szCs w:val="19"/>
                <w:color w:val="auto"/>
              </w:rPr>
            </w:pPr>
          </w:p>
        </w:tc>
        <w:tc>
          <w:tcPr>
            <w:tcW w:w="760" w:type="dxa"/>
            <w:vAlign w:val="bottom"/>
            <w:shd w:val="clear" w:color="auto" w:fill="232F84"/>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shd w:val="clear" w:color="auto" w:fill="232F84"/>
          </w:tcPr>
          <w:p>
            <w:pPr>
              <w:spacing w:after="0"/>
              <w:rPr>
                <w:sz w:val="19"/>
                <w:szCs w:val="19"/>
                <w:color w:val="auto"/>
              </w:rPr>
            </w:pPr>
          </w:p>
        </w:tc>
        <w:tc>
          <w:tcPr>
            <w:tcW w:w="220" w:type="dxa"/>
            <w:vAlign w:val="bottom"/>
            <w:shd w:val="clear" w:color="auto" w:fill="232F84"/>
          </w:tcPr>
          <w:p>
            <w:pPr>
              <w:spacing w:after="0"/>
              <w:rPr>
                <w:sz w:val="19"/>
                <w:szCs w:val="19"/>
                <w:color w:val="auto"/>
              </w:rPr>
            </w:pPr>
          </w:p>
        </w:tc>
        <w:tc>
          <w:tcPr>
            <w:tcW w:w="980" w:type="dxa"/>
            <w:vAlign w:val="bottom"/>
            <w:shd w:val="clear" w:color="auto" w:fill="232F84"/>
          </w:tcPr>
          <w:p>
            <w:pPr>
              <w:spacing w:after="0"/>
              <w:rPr>
                <w:sz w:val="19"/>
                <w:szCs w:val="19"/>
                <w:color w:val="auto"/>
              </w:rPr>
            </w:pPr>
          </w:p>
        </w:tc>
        <w:tc>
          <w:tcPr>
            <w:tcW w:w="200" w:type="dxa"/>
            <w:vAlign w:val="bottom"/>
            <w:shd w:val="clear" w:color="auto" w:fill="232F84"/>
          </w:tcPr>
          <w:p>
            <w:pPr>
              <w:spacing w:after="0"/>
              <w:rPr>
                <w:sz w:val="19"/>
                <w:szCs w:val="19"/>
                <w:color w:val="auto"/>
              </w:rPr>
            </w:pPr>
          </w:p>
        </w:tc>
        <w:tc>
          <w:tcPr>
            <w:tcW w:w="980" w:type="dxa"/>
            <w:vAlign w:val="bottom"/>
            <w:shd w:val="clear" w:color="auto" w:fill="232F84"/>
          </w:tcPr>
          <w:p>
            <w:pPr>
              <w:jc w:val="right"/>
              <w:ind w:right="368"/>
              <w:spacing w:after="0"/>
              <w:rPr>
                <w:sz w:val="20"/>
                <w:szCs w:val="20"/>
                <w:color w:val="auto"/>
              </w:rPr>
            </w:pPr>
            <w:r>
              <w:rPr>
                <w:rFonts w:ascii="Arial" w:cs="Arial" w:eastAsia="Arial" w:hAnsi="Arial"/>
                <w:sz w:val="14"/>
                <w:szCs w:val="14"/>
                <w:b w:val="1"/>
                <w:bCs w:val="1"/>
                <w:color w:val="FFFFFF"/>
              </w:rPr>
              <w:t>2021</w:t>
            </w:r>
          </w:p>
        </w:tc>
        <w:tc>
          <w:tcPr>
            <w:tcW w:w="200" w:type="dxa"/>
            <w:vAlign w:val="bottom"/>
            <w:shd w:val="clear" w:color="auto" w:fill="232F84"/>
          </w:tcPr>
          <w:p>
            <w:pPr>
              <w:spacing w:after="0"/>
              <w:rPr>
                <w:sz w:val="19"/>
                <w:szCs w:val="19"/>
                <w:color w:val="auto"/>
              </w:rPr>
            </w:pPr>
          </w:p>
        </w:tc>
        <w:tc>
          <w:tcPr>
            <w:tcW w:w="1120" w:type="dxa"/>
            <w:vAlign w:val="bottom"/>
            <w:shd w:val="clear" w:color="auto" w:fill="232F84"/>
          </w:tcPr>
          <w:p>
            <w:pPr>
              <w:spacing w:after="0"/>
              <w:rPr>
                <w:sz w:val="19"/>
                <w:szCs w:val="19"/>
                <w:color w:val="auto"/>
              </w:rPr>
            </w:pPr>
          </w:p>
        </w:tc>
        <w:tc>
          <w:tcPr>
            <w:tcW w:w="360" w:type="dxa"/>
            <w:vAlign w:val="bottom"/>
            <w:shd w:val="clear" w:color="auto" w:fill="232F84"/>
          </w:tcPr>
          <w:p>
            <w:pPr>
              <w:spacing w:after="0"/>
              <w:rPr>
                <w:sz w:val="19"/>
                <w:szCs w:val="19"/>
                <w:color w:val="auto"/>
              </w:rPr>
            </w:pPr>
          </w:p>
        </w:tc>
        <w:tc>
          <w:tcPr>
            <w:tcW w:w="960" w:type="dxa"/>
            <w:vAlign w:val="bottom"/>
            <w:shd w:val="clear" w:color="auto" w:fill="232F84"/>
          </w:tcPr>
          <w:p>
            <w:pPr>
              <w:spacing w:after="0"/>
              <w:rPr>
                <w:sz w:val="19"/>
                <w:szCs w:val="19"/>
                <w:color w:val="auto"/>
              </w:rPr>
            </w:pPr>
          </w:p>
        </w:tc>
        <w:tc>
          <w:tcPr>
            <w:tcW w:w="200" w:type="dxa"/>
            <w:vAlign w:val="bottom"/>
            <w:shd w:val="clear" w:color="auto" w:fill="232F84"/>
          </w:tcPr>
          <w:p>
            <w:pPr>
              <w:spacing w:after="0"/>
              <w:rPr>
                <w:sz w:val="19"/>
                <w:szCs w:val="19"/>
                <w:color w:val="auto"/>
              </w:rPr>
            </w:pPr>
          </w:p>
        </w:tc>
        <w:tc>
          <w:tcPr>
            <w:tcW w:w="1000" w:type="dxa"/>
            <w:vAlign w:val="bottom"/>
            <w:shd w:val="clear" w:color="auto" w:fill="232F84"/>
          </w:tcPr>
          <w:p>
            <w:pPr>
              <w:jc w:val="right"/>
              <w:ind w:right="368"/>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232F84"/>
          </w:tcPr>
          <w:p>
            <w:pPr>
              <w:spacing w:after="0"/>
              <w:rPr>
                <w:sz w:val="19"/>
                <w:szCs w:val="19"/>
                <w:color w:val="auto"/>
              </w:rPr>
            </w:pPr>
          </w:p>
        </w:tc>
        <w:tc>
          <w:tcPr>
            <w:tcW w:w="760" w:type="dxa"/>
            <w:vAlign w:val="bottom"/>
            <w:shd w:val="clear" w:color="auto" w:fill="232F8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4"/>
                <w:szCs w:val="14"/>
                <w:color w:val="auto"/>
              </w:rPr>
              <w:t>Third party sales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402.0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center"/>
              <w:ind w:left="588"/>
              <w:spacing w:after="0"/>
              <w:rPr>
                <w:sz w:val="20"/>
                <w:szCs w:val="20"/>
                <w:color w:val="auto"/>
              </w:rPr>
            </w:pPr>
            <w:r>
              <w:rPr>
                <w:rFonts w:ascii="Arial" w:cs="Arial" w:eastAsia="Arial" w:hAnsi="Arial"/>
                <w:sz w:val="14"/>
                <w:szCs w:val="14"/>
                <w:color w:val="auto"/>
              </w:rPr>
              <w:t>5.9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407.9</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414.0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568"/>
              <w:spacing w:after="0"/>
              <w:rPr>
                <w:sz w:val="20"/>
                <w:szCs w:val="20"/>
                <w:color w:val="auto"/>
              </w:rPr>
            </w:pPr>
            <w:r>
              <w:rPr>
                <w:rFonts w:ascii="Arial" w:cs="Arial" w:eastAsia="Arial" w:hAnsi="Arial"/>
                <w:sz w:val="14"/>
                <w:szCs w:val="14"/>
                <w:color w:val="auto"/>
              </w:rPr>
              <w:t>5.1</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Affiliated sales</w:t>
            </w:r>
          </w:p>
        </w:tc>
        <w:tc>
          <w:tcPr>
            <w:tcW w:w="220" w:type="dxa"/>
            <w:vAlign w:val="bottom"/>
            <w:tcBorders>
              <w:bottom w:val="single" w:sz="8" w:color="auto"/>
            </w:tcBorders>
            <w:shd w:val="clear" w:color="auto" w:fill="43C0B9"/>
          </w:tcPr>
          <w:p>
            <w:pPr>
              <w:spacing w:after="0"/>
              <w:rPr>
                <w:sz w:val="18"/>
                <w:szCs w:val="18"/>
                <w:color w:val="auto"/>
              </w:rPr>
            </w:pPr>
          </w:p>
        </w:tc>
        <w:tc>
          <w:tcPr>
            <w:tcW w:w="9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43C0B9"/>
          </w:tcPr>
          <w:p>
            <w:pPr>
              <w:spacing w:after="0"/>
              <w:rPr>
                <w:sz w:val="18"/>
                <w:szCs w:val="18"/>
                <w:color w:val="auto"/>
              </w:rPr>
            </w:pPr>
          </w:p>
        </w:tc>
        <w:tc>
          <w:tcPr>
            <w:tcW w:w="980" w:type="dxa"/>
            <w:vAlign w:val="bottom"/>
            <w:tcBorders>
              <w:bottom w:val="single" w:sz="8" w:color="auto"/>
            </w:tcBorders>
            <w:shd w:val="clear" w:color="auto" w:fill="43C0B9"/>
          </w:tcPr>
          <w:p>
            <w:pPr>
              <w:jc w:val="center"/>
              <w:ind w:left="58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43C0B9"/>
          </w:tcPr>
          <w:p>
            <w:pPr>
              <w:spacing w:after="0"/>
              <w:rPr>
                <w:sz w:val="18"/>
                <w:szCs w:val="18"/>
                <w:color w:val="auto"/>
              </w:rPr>
            </w:pPr>
          </w:p>
        </w:tc>
        <w:tc>
          <w:tcPr>
            <w:tcW w:w="1120" w:type="dxa"/>
            <w:vAlign w:val="bottom"/>
            <w:tcBorders>
              <w:bottom w:val="single" w:sz="8" w:color="auto"/>
            </w:tcBorders>
            <w:shd w:val="clear" w:color="auto" w:fill="43C0B9"/>
          </w:tcPr>
          <w:p>
            <w:pPr>
              <w:jc w:val="right"/>
              <w:ind w:right="128"/>
              <w:spacing w:after="0"/>
              <w:rPr>
                <w:sz w:val="20"/>
                <w:szCs w:val="20"/>
                <w:color w:val="auto"/>
              </w:rPr>
            </w:pPr>
            <w:r>
              <w:rPr>
                <w:rFonts w:ascii="Arial" w:cs="Arial" w:eastAsia="Arial" w:hAnsi="Arial"/>
                <w:sz w:val="14"/>
                <w:szCs w:val="14"/>
                <w:color w:val="auto"/>
              </w:rPr>
              <w:t>2.2</w:t>
            </w:r>
          </w:p>
        </w:tc>
        <w:tc>
          <w:tcPr>
            <w:tcW w:w="360" w:type="dxa"/>
            <w:vAlign w:val="bottom"/>
            <w:tcBorders>
              <w:bottom w:val="single" w:sz="8" w:color="auto"/>
            </w:tcBorders>
            <w:shd w:val="clear" w:color="auto" w:fill="43C0B9"/>
          </w:tcPr>
          <w:p>
            <w:pPr>
              <w:spacing w:after="0"/>
              <w:rPr>
                <w:sz w:val="18"/>
                <w:szCs w:val="18"/>
                <w:color w:val="auto"/>
              </w:rPr>
            </w:pPr>
          </w:p>
        </w:tc>
        <w:tc>
          <w:tcPr>
            <w:tcW w:w="9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43C0B9"/>
          </w:tcPr>
          <w:p>
            <w:pPr>
              <w:spacing w:after="0"/>
              <w:rPr>
                <w:sz w:val="18"/>
                <w:szCs w:val="18"/>
                <w:color w:val="auto"/>
              </w:rPr>
            </w:pPr>
          </w:p>
        </w:tc>
        <w:tc>
          <w:tcPr>
            <w:tcW w:w="1000" w:type="dxa"/>
            <w:vAlign w:val="bottom"/>
            <w:tcBorders>
              <w:bottom w:val="single" w:sz="8" w:color="auto"/>
            </w:tcBorders>
            <w:shd w:val="clear" w:color="auto" w:fill="43C0B9"/>
          </w:tcPr>
          <w:p>
            <w:pPr>
              <w:jc w:val="center"/>
              <w:ind w:left="568"/>
              <w:spacing w:after="0"/>
              <w:rPr>
                <w:sz w:val="20"/>
                <w:szCs w:val="20"/>
                <w:color w:val="auto"/>
              </w:rPr>
            </w:pPr>
            <w:r>
              <w:rPr>
                <w:rFonts w:ascii="Arial" w:cs="Arial" w:eastAsia="Arial" w:hAnsi="Arial"/>
                <w:sz w:val="14"/>
                <w:szCs w:val="14"/>
                <w:color w:val="auto"/>
              </w:rPr>
              <w:t>0.3</w:t>
            </w:r>
          </w:p>
        </w:tc>
        <w:tc>
          <w:tcPr>
            <w:tcW w:w="420" w:type="dxa"/>
            <w:vAlign w:val="bottom"/>
            <w:tcBorders>
              <w:bottom w:val="single" w:sz="8" w:color="auto"/>
            </w:tcBorders>
            <w:shd w:val="clear" w:color="auto" w:fill="43C0B9"/>
          </w:tcPr>
          <w:p>
            <w:pPr>
              <w:spacing w:after="0"/>
              <w:rPr>
                <w:sz w:val="18"/>
                <w:szCs w:val="18"/>
                <w:color w:val="auto"/>
              </w:rPr>
            </w:pPr>
          </w:p>
        </w:tc>
        <w:tc>
          <w:tcPr>
            <w:tcW w:w="7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4"/>
                <w:szCs w:val="14"/>
                <w:color w:val="auto"/>
              </w:rPr>
              <w:t>Total segment sales</w:t>
            </w:r>
          </w:p>
        </w:tc>
        <w:tc>
          <w:tcPr>
            <w:tcW w:w="2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402.0</w:t>
            </w:r>
          </w:p>
        </w:tc>
        <w:tc>
          <w:tcPr>
            <w:tcW w:w="200" w:type="dxa"/>
            <w:vAlign w:val="bottom"/>
          </w:tcPr>
          <w:p>
            <w:pPr>
              <w:spacing w:after="0"/>
              <w:rPr>
                <w:sz w:val="18"/>
                <w:szCs w:val="18"/>
                <w:color w:val="auto"/>
              </w:rPr>
            </w:pPr>
          </w:p>
        </w:tc>
        <w:tc>
          <w:tcPr>
            <w:tcW w:w="980" w:type="dxa"/>
            <w:vAlign w:val="bottom"/>
          </w:tcPr>
          <w:p>
            <w:pPr>
              <w:jc w:val="center"/>
              <w:ind w:left="588"/>
              <w:spacing w:after="0"/>
              <w:rPr>
                <w:sz w:val="20"/>
                <w:szCs w:val="20"/>
                <w:color w:val="auto"/>
              </w:rPr>
            </w:pPr>
            <w:r>
              <w:rPr>
                <w:rFonts w:ascii="Arial" w:cs="Arial" w:eastAsia="Arial" w:hAnsi="Arial"/>
                <w:sz w:val="14"/>
                <w:szCs w:val="14"/>
                <w:color w:val="auto"/>
              </w:rPr>
              <w:t>8.1</w:t>
            </w:r>
          </w:p>
        </w:tc>
        <w:tc>
          <w:tcPr>
            <w:tcW w:w="20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410.1</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414.0</w:t>
            </w:r>
          </w:p>
        </w:tc>
        <w:tc>
          <w:tcPr>
            <w:tcW w:w="200" w:type="dxa"/>
            <w:vAlign w:val="bottom"/>
          </w:tcPr>
          <w:p>
            <w:pPr>
              <w:spacing w:after="0"/>
              <w:rPr>
                <w:sz w:val="18"/>
                <w:szCs w:val="18"/>
                <w:color w:val="auto"/>
              </w:rPr>
            </w:pPr>
          </w:p>
        </w:tc>
        <w:tc>
          <w:tcPr>
            <w:tcW w:w="1000" w:type="dxa"/>
            <w:vAlign w:val="bottom"/>
          </w:tcPr>
          <w:p>
            <w:pPr>
              <w:jc w:val="center"/>
              <w:ind w:left="568"/>
              <w:spacing w:after="0"/>
              <w:rPr>
                <w:sz w:val="20"/>
                <w:szCs w:val="20"/>
                <w:color w:val="auto"/>
              </w:rPr>
            </w:pPr>
            <w:r>
              <w:rPr>
                <w:rFonts w:ascii="Arial" w:cs="Arial" w:eastAsia="Arial" w:hAnsi="Arial"/>
                <w:sz w:val="14"/>
                <w:szCs w:val="14"/>
                <w:color w:val="auto"/>
              </w:rPr>
              <w:t>5.4</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Intercompany eliminations</w:t>
            </w:r>
          </w:p>
        </w:tc>
        <w:tc>
          <w:tcPr>
            <w:tcW w:w="220" w:type="dxa"/>
            <w:vAlign w:val="bottom"/>
            <w:tcBorders>
              <w:bottom w:val="single" w:sz="8" w:color="auto"/>
            </w:tcBorders>
            <w:shd w:val="clear" w:color="auto" w:fill="43C0B9"/>
          </w:tcPr>
          <w:p>
            <w:pPr>
              <w:spacing w:after="0"/>
              <w:rPr>
                <w:sz w:val="18"/>
                <w:szCs w:val="18"/>
                <w:color w:val="auto"/>
              </w:rPr>
            </w:pPr>
          </w:p>
        </w:tc>
        <w:tc>
          <w:tcPr>
            <w:tcW w:w="9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43C0B9"/>
          </w:tcPr>
          <w:p>
            <w:pPr>
              <w:spacing w:after="0"/>
              <w:rPr>
                <w:sz w:val="18"/>
                <w:szCs w:val="18"/>
                <w:color w:val="auto"/>
              </w:rPr>
            </w:pPr>
          </w:p>
        </w:tc>
        <w:tc>
          <w:tcPr>
            <w:tcW w:w="980" w:type="dxa"/>
            <w:vAlign w:val="bottom"/>
            <w:tcBorders>
              <w:bottom w:val="single" w:sz="8" w:color="auto"/>
            </w:tcBorders>
            <w:shd w:val="clear" w:color="auto" w:fill="43C0B9"/>
          </w:tcPr>
          <w:p>
            <w:pPr>
              <w:jc w:val="center"/>
              <w:ind w:left="56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43C0B9"/>
          </w:tcPr>
          <w:p>
            <w:pPr>
              <w:spacing w:after="0"/>
              <w:rPr>
                <w:sz w:val="18"/>
                <w:szCs w:val="18"/>
                <w:color w:val="auto"/>
              </w:rPr>
            </w:pPr>
          </w:p>
        </w:tc>
        <w:tc>
          <w:tcPr>
            <w:tcW w:w="112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(2.2)</w:t>
            </w:r>
          </w:p>
        </w:tc>
        <w:tc>
          <w:tcPr>
            <w:tcW w:w="360" w:type="dxa"/>
            <w:vAlign w:val="bottom"/>
            <w:tcBorders>
              <w:bottom w:val="single" w:sz="8" w:color="auto"/>
            </w:tcBorders>
            <w:shd w:val="clear" w:color="auto" w:fill="43C0B9"/>
          </w:tcPr>
          <w:p>
            <w:pPr>
              <w:spacing w:after="0"/>
              <w:rPr>
                <w:sz w:val="18"/>
                <w:szCs w:val="18"/>
                <w:color w:val="auto"/>
              </w:rPr>
            </w:pPr>
          </w:p>
        </w:tc>
        <w:tc>
          <w:tcPr>
            <w:tcW w:w="9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43C0B9"/>
          </w:tcPr>
          <w:p>
            <w:pPr>
              <w:spacing w:after="0"/>
              <w:rPr>
                <w:sz w:val="18"/>
                <w:szCs w:val="18"/>
                <w:color w:val="auto"/>
              </w:rPr>
            </w:pPr>
          </w:p>
        </w:tc>
        <w:tc>
          <w:tcPr>
            <w:tcW w:w="1000" w:type="dxa"/>
            <w:vAlign w:val="bottom"/>
            <w:tcBorders>
              <w:bottom w:val="single" w:sz="8" w:color="auto"/>
            </w:tcBorders>
            <w:shd w:val="clear" w:color="auto" w:fill="43C0B9"/>
          </w:tcPr>
          <w:p>
            <w:pPr>
              <w:jc w:val="center"/>
              <w:ind w:left="548"/>
              <w:spacing w:after="0"/>
              <w:rPr>
                <w:sz w:val="20"/>
                <w:szCs w:val="20"/>
                <w:color w:val="auto"/>
              </w:rPr>
            </w:pPr>
            <w:r>
              <w:rPr>
                <w:rFonts w:ascii="Arial" w:cs="Arial" w:eastAsia="Arial" w:hAnsi="Arial"/>
                <w:sz w:val="14"/>
                <w:szCs w:val="14"/>
                <w:color w:val="auto"/>
              </w:rPr>
              <w:t>(0.3)</w:t>
            </w:r>
          </w:p>
        </w:tc>
        <w:tc>
          <w:tcPr>
            <w:tcW w:w="420" w:type="dxa"/>
            <w:vAlign w:val="bottom"/>
            <w:tcBorders>
              <w:bottom w:val="single" w:sz="8" w:color="auto"/>
            </w:tcBorders>
            <w:shd w:val="clear" w:color="auto" w:fill="43C0B9"/>
          </w:tcPr>
          <w:p>
            <w:pPr>
              <w:spacing w:after="0"/>
              <w:rPr>
                <w:sz w:val="18"/>
                <w:szCs w:val="18"/>
                <w:color w:val="auto"/>
              </w:rPr>
            </w:pPr>
          </w:p>
        </w:tc>
        <w:tc>
          <w:tcPr>
            <w:tcW w:w="7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402.0</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center"/>
              <w:ind w:left="588"/>
              <w:spacing w:after="0"/>
              <w:rPr>
                <w:sz w:val="20"/>
                <w:szCs w:val="20"/>
                <w:color w:val="auto"/>
              </w:rPr>
            </w:pPr>
            <w:r>
              <w:rPr>
                <w:rFonts w:ascii="Arial" w:cs="Arial" w:eastAsia="Arial" w:hAnsi="Arial"/>
                <w:sz w:val="14"/>
                <w:szCs w:val="14"/>
                <w:color w:val="auto"/>
              </w:rPr>
              <w:t>5.9</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407.9</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414.0</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color w:val="auto"/>
              </w:rPr>
              <w:t>5.1</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EBITDA for each of our reporting segments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shd w:val="clear" w:color="auto" w:fill="232F84"/>
          </w:tcPr>
          <w:p>
            <w:pPr>
              <w:spacing w:after="0"/>
              <w:rPr>
                <w:sz w:val="15"/>
                <w:szCs w:val="15"/>
                <w:color w:val="auto"/>
              </w:rPr>
            </w:pPr>
          </w:p>
        </w:tc>
        <w:tc>
          <w:tcPr>
            <w:tcW w:w="48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800" w:type="dxa"/>
            <w:vAlign w:val="bottom"/>
            <w:shd w:val="clear" w:color="auto" w:fill="232F84"/>
          </w:tcPr>
          <w:p>
            <w:pPr>
              <w:spacing w:after="0"/>
              <w:rPr>
                <w:sz w:val="15"/>
                <w:szCs w:val="15"/>
                <w:color w:val="auto"/>
              </w:rPr>
            </w:pPr>
          </w:p>
        </w:tc>
        <w:tc>
          <w:tcPr>
            <w:tcW w:w="540" w:type="dxa"/>
            <w:vAlign w:val="bottom"/>
            <w:shd w:val="clear" w:color="auto" w:fill="232F84"/>
          </w:tcPr>
          <w:p>
            <w:pPr>
              <w:spacing w:after="0"/>
              <w:rPr>
                <w:sz w:val="15"/>
                <w:szCs w:val="15"/>
                <w:color w:val="auto"/>
              </w:rPr>
            </w:pPr>
          </w:p>
        </w:tc>
        <w:tc>
          <w:tcPr>
            <w:tcW w:w="1980" w:type="dxa"/>
            <w:vAlign w:val="bottom"/>
            <w:gridSpan w:val="2"/>
            <w:shd w:val="clear" w:color="auto" w:fill="232F84"/>
          </w:tcPr>
          <w:p>
            <w:pPr>
              <w:jc w:val="right"/>
              <w:ind w:right="208"/>
              <w:spacing w:after="0"/>
              <w:rPr>
                <w:sz w:val="20"/>
                <w:szCs w:val="20"/>
                <w:color w:val="auto"/>
              </w:rPr>
            </w:pPr>
            <w:r>
              <w:rPr>
                <w:rFonts w:ascii="Arial" w:cs="Arial" w:eastAsia="Arial" w:hAnsi="Arial"/>
                <w:sz w:val="14"/>
                <w:szCs w:val="14"/>
                <w:b w:val="1"/>
                <w:bCs w:val="1"/>
                <w:color w:val="FFFFFF"/>
              </w:rPr>
              <w:t>Six Months Ended</w:t>
            </w:r>
          </w:p>
        </w:tc>
        <w:tc>
          <w:tcPr>
            <w:tcW w:w="720" w:type="dxa"/>
            <w:vAlign w:val="bottom"/>
            <w:shd w:val="clear" w:color="auto" w:fill="232F84"/>
          </w:tcPr>
          <w:p>
            <w:pPr>
              <w:spacing w:after="0"/>
              <w:rPr>
                <w:sz w:val="15"/>
                <w:szCs w:val="15"/>
                <w:color w:val="auto"/>
              </w:rPr>
            </w:pPr>
          </w:p>
        </w:tc>
      </w:tr>
      <w:tr>
        <w:trPr>
          <w:trHeight w:val="206"/>
        </w:trPr>
        <w:tc>
          <w:tcPr>
            <w:tcW w:w="4660" w:type="dxa"/>
            <w:vAlign w:val="bottom"/>
            <w:shd w:val="clear" w:color="auto" w:fill="232F84"/>
          </w:tcPr>
          <w:p>
            <w:pPr>
              <w:spacing w:after="0"/>
              <w:rPr>
                <w:sz w:val="17"/>
                <w:szCs w:val="17"/>
                <w:color w:val="auto"/>
              </w:rPr>
            </w:pPr>
          </w:p>
        </w:tc>
        <w:tc>
          <w:tcPr>
            <w:tcW w:w="48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right"/>
              <w:ind w:right="588"/>
              <w:spacing w:after="0"/>
              <w:rPr>
                <w:sz w:val="20"/>
                <w:szCs w:val="20"/>
                <w:color w:val="auto"/>
              </w:rPr>
            </w:pPr>
            <w:r>
              <w:rPr>
                <w:rFonts w:ascii="Arial" w:cs="Arial" w:eastAsia="Arial" w:hAnsi="Arial"/>
                <w:sz w:val="14"/>
                <w:szCs w:val="14"/>
                <w:b w:val="1"/>
                <w:bCs w:val="1"/>
                <w:color w:val="FFFFFF"/>
              </w:rPr>
              <w:t>April 30,</w:t>
            </w:r>
          </w:p>
        </w:tc>
        <w:tc>
          <w:tcPr>
            <w:tcW w:w="800" w:type="dxa"/>
            <w:vAlign w:val="bottom"/>
            <w:shd w:val="clear" w:color="auto" w:fill="232F84"/>
          </w:tcPr>
          <w:p>
            <w:pPr>
              <w:spacing w:after="0"/>
              <w:rPr>
                <w:sz w:val="17"/>
                <w:szCs w:val="17"/>
                <w:color w:val="auto"/>
              </w:rPr>
            </w:pPr>
          </w:p>
        </w:tc>
        <w:tc>
          <w:tcPr>
            <w:tcW w:w="540" w:type="dxa"/>
            <w:vAlign w:val="bottom"/>
            <w:shd w:val="clear" w:color="auto" w:fill="232F84"/>
          </w:tcPr>
          <w:p>
            <w:pPr>
              <w:spacing w:after="0"/>
              <w:rPr>
                <w:sz w:val="17"/>
                <w:szCs w:val="17"/>
                <w:color w:val="auto"/>
              </w:rPr>
            </w:pPr>
          </w:p>
        </w:tc>
        <w:tc>
          <w:tcPr>
            <w:tcW w:w="1980" w:type="dxa"/>
            <w:vAlign w:val="bottom"/>
            <w:gridSpan w:val="2"/>
            <w:shd w:val="clear" w:color="auto" w:fill="232F84"/>
          </w:tcPr>
          <w:p>
            <w:pPr>
              <w:jc w:val="right"/>
              <w:ind w:right="548"/>
              <w:spacing w:after="0"/>
              <w:rPr>
                <w:sz w:val="20"/>
                <w:szCs w:val="20"/>
                <w:color w:val="auto"/>
              </w:rPr>
            </w:pPr>
            <w:r>
              <w:rPr>
                <w:rFonts w:ascii="Arial" w:cs="Arial" w:eastAsia="Arial" w:hAnsi="Arial"/>
                <w:sz w:val="14"/>
                <w:szCs w:val="14"/>
                <w:b w:val="1"/>
                <w:bCs w:val="1"/>
                <w:color w:val="FFFFFF"/>
              </w:rPr>
              <w:t>April 30,</w:t>
            </w:r>
          </w:p>
        </w:tc>
        <w:tc>
          <w:tcPr>
            <w:tcW w:w="720" w:type="dxa"/>
            <w:vAlign w:val="bottom"/>
            <w:shd w:val="clear" w:color="auto" w:fill="232F84"/>
          </w:tcPr>
          <w:p>
            <w:pPr>
              <w:spacing w:after="0"/>
              <w:rPr>
                <w:sz w:val="17"/>
                <w:szCs w:val="17"/>
                <w:color w:val="auto"/>
              </w:rPr>
            </w:pPr>
          </w:p>
        </w:tc>
      </w:tr>
      <w:tr>
        <w:trPr>
          <w:trHeight w:val="226"/>
        </w:trPr>
        <w:tc>
          <w:tcPr>
            <w:tcW w:w="46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80" w:type="dxa"/>
            <w:vAlign w:val="bottom"/>
            <w:shd w:val="clear" w:color="auto" w:fill="232F84"/>
          </w:tcPr>
          <w:p>
            <w:pPr>
              <w:spacing w:after="0"/>
              <w:rPr>
                <w:sz w:val="19"/>
                <w:szCs w:val="19"/>
                <w:color w:val="auto"/>
              </w:rPr>
            </w:pPr>
          </w:p>
        </w:tc>
        <w:tc>
          <w:tcPr>
            <w:tcW w:w="110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9"/>
                <w:szCs w:val="19"/>
                <w:color w:val="auto"/>
              </w:rPr>
            </w:pPr>
          </w:p>
        </w:tc>
        <w:tc>
          <w:tcPr>
            <w:tcW w:w="800" w:type="dxa"/>
            <w:vAlign w:val="bottom"/>
            <w:shd w:val="clear" w:color="auto" w:fill="232F84"/>
          </w:tcPr>
          <w:p>
            <w:pPr>
              <w:jc w:val="right"/>
              <w:ind w:right="188"/>
              <w:spacing w:after="0"/>
              <w:rPr>
                <w:sz w:val="20"/>
                <w:szCs w:val="20"/>
                <w:color w:val="auto"/>
              </w:rPr>
            </w:pPr>
            <w:r>
              <w:rPr>
                <w:rFonts w:ascii="Arial" w:cs="Arial" w:eastAsia="Arial" w:hAnsi="Arial"/>
                <w:sz w:val="14"/>
                <w:szCs w:val="14"/>
                <w:b w:val="1"/>
                <w:bCs w:val="1"/>
                <w:color w:val="FFFFFF"/>
              </w:rPr>
              <w:t>2020</w:t>
            </w:r>
          </w:p>
        </w:tc>
        <w:tc>
          <w:tcPr>
            <w:tcW w:w="540" w:type="dxa"/>
            <w:vAlign w:val="bottom"/>
            <w:shd w:val="clear" w:color="auto" w:fill="232F84"/>
          </w:tcPr>
          <w:p>
            <w:pPr>
              <w:spacing w:after="0"/>
              <w:rPr>
                <w:sz w:val="19"/>
                <w:szCs w:val="19"/>
                <w:color w:val="auto"/>
              </w:rPr>
            </w:pPr>
          </w:p>
        </w:tc>
        <w:tc>
          <w:tcPr>
            <w:tcW w:w="108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00" w:type="dxa"/>
            <w:vAlign w:val="bottom"/>
            <w:shd w:val="clear" w:color="auto" w:fill="232F84"/>
          </w:tcPr>
          <w:p>
            <w:pPr>
              <w:spacing w:after="0"/>
              <w:rPr>
                <w:sz w:val="19"/>
                <w:szCs w:val="19"/>
                <w:color w:val="auto"/>
              </w:rPr>
            </w:pPr>
          </w:p>
        </w:tc>
        <w:tc>
          <w:tcPr>
            <w:tcW w:w="72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4660" w:type="dxa"/>
            <w:vAlign w:val="bottom"/>
            <w:shd w:val="clear" w:color="auto" w:fill="43C0B9"/>
          </w:tcPr>
          <w:p>
            <w:pPr>
              <w:ind w:left="20"/>
              <w:spacing w:after="0"/>
              <w:rPr>
                <w:sz w:val="20"/>
                <w:szCs w:val="20"/>
                <w:color w:val="auto"/>
              </w:rPr>
            </w:pPr>
            <w:r>
              <w:rPr>
                <w:rFonts w:ascii="Arial" w:cs="Arial" w:eastAsia="Arial" w:hAnsi="Arial"/>
                <w:sz w:val="14"/>
                <w:szCs w:val="14"/>
                <w:color w:val="auto"/>
              </w:rPr>
              <w:t>Marketing &amp; Distribution adjusted EBITDA</w:t>
            </w:r>
          </w:p>
        </w:tc>
        <w:tc>
          <w:tcPr>
            <w:tcW w:w="480" w:type="dxa"/>
            <w:vAlign w:val="bottom"/>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16.2</w:t>
            </w:r>
          </w:p>
        </w:tc>
        <w:tc>
          <w:tcPr>
            <w:tcW w:w="96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80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17.6</w:t>
            </w:r>
          </w:p>
        </w:tc>
        <w:tc>
          <w:tcPr>
            <w:tcW w:w="540" w:type="dxa"/>
            <w:vAlign w:val="bottom"/>
            <w:shd w:val="clear" w:color="auto" w:fill="43C0B9"/>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29.9</w:t>
            </w:r>
          </w:p>
        </w:tc>
        <w:tc>
          <w:tcPr>
            <w:tcW w:w="900" w:type="dxa"/>
            <w:vAlign w:val="bottom"/>
            <w:shd w:val="clear" w:color="auto" w:fill="43C0B9"/>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27.8</w:t>
            </w:r>
          </w:p>
        </w:tc>
      </w:tr>
      <w:tr>
        <w:trPr>
          <w:trHeight w:val="21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International Farming adjusted EBITDA</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9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r>
      <w:tr>
        <w:trPr>
          <w:trHeight w:val="209"/>
        </w:trPr>
        <w:tc>
          <w:tcPr>
            <w:tcW w:w="46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480" w:type="dxa"/>
            <w:vAlign w:val="bottom"/>
            <w:tcBorders>
              <w:bottom w:val="single" w:sz="8" w:color="auto"/>
            </w:tcBorders>
            <w:shd w:val="clear" w:color="auto" w:fill="43C0B9"/>
          </w:tcPr>
          <w:p>
            <w:pPr>
              <w:spacing w:after="0"/>
              <w:rPr>
                <w:sz w:val="18"/>
                <w:szCs w:val="18"/>
                <w:color w:val="auto"/>
              </w:rPr>
            </w:pPr>
          </w:p>
        </w:tc>
        <w:tc>
          <w:tcPr>
            <w:tcW w:w="110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16.3</w:t>
            </w:r>
          </w:p>
        </w:tc>
        <w:tc>
          <w:tcPr>
            <w:tcW w:w="960" w:type="dxa"/>
            <w:vAlign w:val="bottom"/>
            <w:tcBorders>
              <w:bottom w:val="single" w:sz="8" w:color="auto"/>
            </w:tcBorders>
            <w:shd w:val="clear" w:color="auto" w:fill="43C0B9"/>
          </w:tcPr>
          <w:p>
            <w:pPr>
              <w:spacing w:after="0"/>
              <w:rPr>
                <w:sz w:val="18"/>
                <w:szCs w:val="18"/>
                <w:color w:val="auto"/>
              </w:rPr>
            </w:pPr>
          </w:p>
        </w:tc>
        <w:tc>
          <w:tcPr>
            <w:tcW w:w="800" w:type="dxa"/>
            <w:vAlign w:val="bottom"/>
            <w:tcBorders>
              <w:bottom w:val="single" w:sz="8" w:color="auto"/>
            </w:tcBorders>
            <w:shd w:val="clear" w:color="auto" w:fill="43C0B9"/>
          </w:tcPr>
          <w:p>
            <w:pPr>
              <w:jc w:val="right"/>
              <w:ind w:right="128"/>
              <w:spacing w:after="0"/>
              <w:rPr>
                <w:sz w:val="20"/>
                <w:szCs w:val="20"/>
                <w:color w:val="auto"/>
              </w:rPr>
            </w:pPr>
            <w:r>
              <w:rPr>
                <w:rFonts w:ascii="Arial" w:cs="Arial" w:eastAsia="Arial" w:hAnsi="Arial"/>
                <w:sz w:val="14"/>
                <w:szCs w:val="14"/>
                <w:color w:val="auto"/>
              </w:rPr>
              <w:t>14.4</w:t>
            </w:r>
          </w:p>
        </w:tc>
        <w:tc>
          <w:tcPr>
            <w:tcW w:w="540" w:type="dxa"/>
            <w:vAlign w:val="bottom"/>
            <w:tcBorders>
              <w:bottom w:val="single" w:sz="8" w:color="auto"/>
            </w:tcBorders>
            <w:shd w:val="clear" w:color="auto" w:fill="43C0B9"/>
          </w:tcPr>
          <w:p>
            <w:pPr>
              <w:spacing w:after="0"/>
              <w:rPr>
                <w:sz w:val="18"/>
                <w:szCs w:val="18"/>
                <w:color w:val="auto"/>
              </w:rPr>
            </w:pPr>
          </w:p>
        </w:tc>
        <w:tc>
          <w:tcPr>
            <w:tcW w:w="108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28.8</w:t>
            </w:r>
          </w:p>
        </w:tc>
        <w:tc>
          <w:tcPr>
            <w:tcW w:w="90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22.8</w:t>
            </w:r>
          </w:p>
        </w:tc>
      </w:tr>
      <w:tr>
        <w:trPr>
          <w:trHeight w:val="210"/>
        </w:trPr>
        <w:tc>
          <w:tcPr>
            <w:tcW w:w="46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48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9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(14.8)</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22"/>
        </w:trPr>
        <w:tc>
          <w:tcPr>
            <w:tcW w:w="466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Interest expense</w:t>
            </w:r>
          </w:p>
        </w:tc>
        <w:tc>
          <w:tcPr>
            <w:tcW w:w="48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0.8</w:t>
            </w:r>
          </w:p>
        </w:tc>
        <w:tc>
          <w:tcPr>
            <w:tcW w:w="960" w:type="dxa"/>
            <w:vAlign w:val="bottom"/>
            <w:shd w:val="clear" w:color="auto" w:fill="43C0B9"/>
          </w:tcPr>
          <w:p>
            <w:pPr>
              <w:spacing w:after="0"/>
              <w:rPr>
                <w:sz w:val="19"/>
                <w:szCs w:val="19"/>
                <w:color w:val="auto"/>
              </w:rPr>
            </w:pPr>
          </w:p>
        </w:tc>
        <w:tc>
          <w:tcPr>
            <w:tcW w:w="80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2.3</w:t>
            </w:r>
          </w:p>
        </w:tc>
        <w:tc>
          <w:tcPr>
            <w:tcW w:w="54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1.7</w:t>
            </w:r>
          </w:p>
        </w:tc>
        <w:tc>
          <w:tcPr>
            <w:tcW w:w="900" w:type="dxa"/>
            <w:vAlign w:val="bottom"/>
            <w:shd w:val="clear" w:color="auto" w:fill="43C0B9"/>
          </w:tcPr>
          <w:p>
            <w:pPr>
              <w:spacing w:after="0"/>
              <w:rPr>
                <w:sz w:val="19"/>
                <w:szCs w:val="19"/>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4.4</w:t>
            </w:r>
          </w:p>
        </w:tc>
      </w:tr>
      <w:tr>
        <w:trPr>
          <w:trHeight w:val="210"/>
        </w:trPr>
        <w:tc>
          <w:tcPr>
            <w:tcW w:w="46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48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960" w:type="dxa"/>
            <w:vAlign w:val="bottom"/>
          </w:tcPr>
          <w:p>
            <w:pPr>
              <w:spacing w:after="0"/>
              <w:rPr>
                <w:sz w:val="18"/>
                <w:szCs w:val="18"/>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3.5</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22"/>
        </w:trPr>
        <w:tc>
          <w:tcPr>
            <w:tcW w:w="4660" w:type="dxa"/>
            <w:vAlign w:val="bottom"/>
            <w:shd w:val="clear" w:color="auto" w:fill="43C0B9"/>
          </w:tcPr>
          <w:p>
            <w:pPr>
              <w:ind w:left="20"/>
              <w:spacing w:after="0"/>
              <w:rPr>
                <w:sz w:val="20"/>
                <w:szCs w:val="20"/>
                <w:color w:val="auto"/>
              </w:rPr>
            </w:pPr>
            <w:r>
              <w:rPr>
                <w:rFonts w:ascii="Arial" w:cs="Arial" w:eastAsia="Arial" w:hAnsi="Arial"/>
                <w:sz w:val="14"/>
                <w:szCs w:val="14"/>
                <w:color w:val="auto"/>
              </w:rPr>
              <w:t>Depreciation and amortization</w:t>
            </w:r>
          </w:p>
        </w:tc>
        <w:tc>
          <w:tcPr>
            <w:tcW w:w="48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4.0</w:t>
            </w:r>
          </w:p>
        </w:tc>
        <w:tc>
          <w:tcPr>
            <w:tcW w:w="960" w:type="dxa"/>
            <w:vAlign w:val="bottom"/>
            <w:shd w:val="clear" w:color="auto" w:fill="43C0B9"/>
          </w:tcPr>
          <w:p>
            <w:pPr>
              <w:spacing w:after="0"/>
              <w:rPr>
                <w:sz w:val="19"/>
                <w:szCs w:val="19"/>
                <w:color w:val="auto"/>
              </w:rPr>
            </w:pPr>
          </w:p>
        </w:tc>
        <w:tc>
          <w:tcPr>
            <w:tcW w:w="80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3.7</w:t>
            </w:r>
          </w:p>
        </w:tc>
        <w:tc>
          <w:tcPr>
            <w:tcW w:w="54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7.6</w:t>
            </w:r>
          </w:p>
        </w:tc>
        <w:tc>
          <w:tcPr>
            <w:tcW w:w="900" w:type="dxa"/>
            <w:vAlign w:val="bottom"/>
            <w:shd w:val="clear" w:color="auto" w:fill="43C0B9"/>
          </w:tcPr>
          <w:p>
            <w:pPr>
              <w:spacing w:after="0"/>
              <w:rPr>
                <w:sz w:val="19"/>
                <w:szCs w:val="19"/>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7.1</w:t>
            </w:r>
          </w:p>
        </w:tc>
      </w:tr>
      <w:tr>
        <w:trPr>
          <w:trHeight w:val="210"/>
        </w:trPr>
        <w:tc>
          <w:tcPr>
            <w:tcW w:w="4660" w:type="dxa"/>
            <w:vAlign w:val="bottom"/>
          </w:tcPr>
          <w:p>
            <w:pPr>
              <w:ind w:left="20"/>
              <w:spacing w:after="0"/>
              <w:rPr>
                <w:sz w:val="20"/>
                <w:szCs w:val="20"/>
                <w:color w:val="auto"/>
              </w:rPr>
            </w:pPr>
            <w:r>
              <w:rPr>
                <w:rFonts w:ascii="Arial" w:cs="Arial" w:eastAsia="Arial" w:hAnsi="Arial"/>
                <w:sz w:val="14"/>
                <w:szCs w:val="14"/>
                <w:color w:val="auto"/>
              </w:rPr>
              <w:t>Equity method loss (income)</w:t>
            </w:r>
          </w:p>
        </w:tc>
        <w:tc>
          <w:tcPr>
            <w:tcW w:w="48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96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22"/>
        </w:trPr>
        <w:tc>
          <w:tcPr>
            <w:tcW w:w="4660" w:type="dxa"/>
            <w:vAlign w:val="bottom"/>
            <w:shd w:val="clear" w:color="auto" w:fill="43C0B9"/>
          </w:tcPr>
          <w:p>
            <w:pPr>
              <w:ind w:left="20"/>
              <w:spacing w:after="0"/>
              <w:rPr>
                <w:sz w:val="20"/>
                <w:szCs w:val="20"/>
                <w:color w:val="auto"/>
              </w:rPr>
            </w:pPr>
            <w:r>
              <w:rPr>
                <w:rFonts w:ascii="Arial" w:cs="Arial" w:eastAsia="Arial" w:hAnsi="Arial"/>
                <w:sz w:val="14"/>
                <w:szCs w:val="14"/>
                <w:color w:val="auto"/>
              </w:rPr>
              <w:t>Impairment on equity method investment</w:t>
            </w:r>
          </w:p>
        </w:tc>
        <w:tc>
          <w:tcPr>
            <w:tcW w:w="48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spacing w:after="0"/>
              <w:rPr>
                <w:sz w:val="19"/>
                <w:szCs w:val="19"/>
                <w:color w:val="auto"/>
              </w:rPr>
            </w:pPr>
          </w:p>
        </w:tc>
        <w:tc>
          <w:tcPr>
            <w:tcW w:w="80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21.2</w:t>
            </w:r>
          </w:p>
        </w:tc>
        <w:tc>
          <w:tcPr>
            <w:tcW w:w="54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43C0B9"/>
          </w:tcPr>
          <w:p>
            <w:pPr>
              <w:spacing w:after="0"/>
              <w:rPr>
                <w:sz w:val="19"/>
                <w:szCs w:val="19"/>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21.2</w:t>
            </w:r>
          </w:p>
        </w:tc>
      </w:tr>
      <w:tr>
        <w:trPr>
          <w:trHeight w:val="210"/>
        </w:trPr>
        <w:tc>
          <w:tcPr>
            <w:tcW w:w="4660" w:type="dxa"/>
            <w:vAlign w:val="bottom"/>
          </w:tcPr>
          <w:p>
            <w:pPr>
              <w:ind w:left="20"/>
              <w:spacing w:after="0"/>
              <w:rPr>
                <w:sz w:val="20"/>
                <w:szCs w:val="20"/>
                <w:color w:val="auto"/>
              </w:rPr>
            </w:pPr>
            <w:r>
              <w:rPr>
                <w:rFonts w:ascii="Arial" w:cs="Arial" w:eastAsia="Arial" w:hAnsi="Arial"/>
                <w:sz w:val="14"/>
                <w:szCs w:val="14"/>
                <w:color w:val="auto"/>
              </w:rPr>
              <w:t>Legal settlement</w:t>
            </w:r>
          </w:p>
        </w:tc>
        <w:tc>
          <w:tcPr>
            <w:tcW w:w="48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960" w:type="dxa"/>
            <w:vAlign w:val="bottom"/>
          </w:tcPr>
          <w:p>
            <w:pPr>
              <w:spacing w:after="0"/>
              <w:rPr>
                <w:sz w:val="18"/>
                <w:szCs w:val="18"/>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4660" w:type="dxa"/>
            <w:vAlign w:val="bottom"/>
            <w:shd w:val="clear" w:color="auto" w:fill="43C0B9"/>
          </w:tcPr>
          <w:p>
            <w:pPr>
              <w:ind w:left="20"/>
              <w:spacing w:after="0"/>
              <w:rPr>
                <w:sz w:val="20"/>
                <w:szCs w:val="20"/>
                <w:color w:val="auto"/>
              </w:rPr>
            </w:pPr>
            <w:r>
              <w:rPr>
                <w:rFonts w:ascii="Arial" w:cs="Arial" w:eastAsia="Arial" w:hAnsi="Arial"/>
                <w:sz w:val="14"/>
                <w:szCs w:val="14"/>
                <w:color w:val="auto"/>
              </w:rPr>
              <w:t>Other expense (income), net</w:t>
            </w:r>
          </w:p>
        </w:tc>
        <w:tc>
          <w:tcPr>
            <w:tcW w:w="48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0.3</w:t>
            </w:r>
          </w:p>
        </w:tc>
        <w:tc>
          <w:tcPr>
            <w:tcW w:w="960" w:type="dxa"/>
            <w:vAlign w:val="bottom"/>
            <w:shd w:val="clear" w:color="auto" w:fill="43C0B9"/>
          </w:tcPr>
          <w:p>
            <w:pPr>
              <w:spacing w:after="0"/>
              <w:rPr>
                <w:sz w:val="19"/>
                <w:szCs w:val="19"/>
                <w:color w:val="auto"/>
              </w:rPr>
            </w:pPr>
          </w:p>
        </w:tc>
        <w:tc>
          <w:tcPr>
            <w:tcW w:w="8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(1.4)</w:t>
            </w:r>
          </w:p>
        </w:tc>
        <w:tc>
          <w:tcPr>
            <w:tcW w:w="54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0.3</w:t>
            </w:r>
          </w:p>
        </w:tc>
        <w:tc>
          <w:tcPr>
            <w:tcW w:w="900" w:type="dxa"/>
            <w:vAlign w:val="bottom"/>
            <w:shd w:val="clear" w:color="auto" w:fill="43C0B9"/>
          </w:tcPr>
          <w:p>
            <w:pPr>
              <w:spacing w:after="0"/>
              <w:rPr>
                <w:sz w:val="19"/>
                <w:szCs w:val="19"/>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w:t>
            </w:r>
          </w:p>
        </w:tc>
      </w:tr>
      <w:tr>
        <w:trPr>
          <w:trHeight w:val="21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0.3</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9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10"/>
        </w:trPr>
        <w:tc>
          <w:tcPr>
            <w:tcW w:w="46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adjusted EBITDA</w:t>
            </w:r>
          </w:p>
        </w:tc>
        <w:tc>
          <w:tcPr>
            <w:tcW w:w="480" w:type="dxa"/>
            <w:vAlign w:val="bottom"/>
            <w:tcBorders>
              <w:bottom w:val="single" w:sz="8" w:color="auto"/>
            </w:tcBorders>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16.3</w:t>
            </w:r>
          </w:p>
        </w:tc>
        <w:tc>
          <w:tcPr>
            <w:tcW w:w="96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43C0B9"/>
          </w:tcPr>
          <w:p>
            <w:pPr>
              <w:jc w:val="right"/>
              <w:ind w:right="128"/>
              <w:spacing w:after="0"/>
              <w:rPr>
                <w:sz w:val="20"/>
                <w:szCs w:val="20"/>
                <w:color w:val="auto"/>
              </w:rPr>
            </w:pPr>
            <w:r>
              <w:rPr>
                <w:rFonts w:ascii="Arial" w:cs="Arial" w:eastAsia="Arial" w:hAnsi="Arial"/>
                <w:sz w:val="14"/>
                <w:szCs w:val="14"/>
                <w:color w:val="auto"/>
              </w:rPr>
              <w:t>14.4</w:t>
            </w:r>
          </w:p>
        </w:tc>
        <w:tc>
          <w:tcPr>
            <w:tcW w:w="540" w:type="dxa"/>
            <w:vAlign w:val="bottom"/>
            <w:tcBorders>
              <w:bottom w:val="single" w:sz="8" w:color="auto"/>
            </w:tcBorders>
            <w:shd w:val="clear" w:color="auto" w:fill="43C0B9"/>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28.8</w:t>
            </w:r>
          </w:p>
        </w:tc>
        <w:tc>
          <w:tcPr>
            <w:tcW w:w="900" w:type="dxa"/>
            <w:vAlign w:val="bottom"/>
            <w:tcBorders>
              <w:bottom w:val="single" w:sz="8" w:color="auto"/>
            </w:tcBorders>
            <w:shd w:val="clear" w:color="auto" w:fill="43C0B9"/>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22.8</w:t>
            </w:r>
          </w:p>
        </w:tc>
      </w:tr>
    </w:tbl>
    <w:p>
      <w:pPr>
        <w:spacing w:after="0" w:line="218" w:lineRule="exact"/>
        <w:rPr>
          <w:sz w:val="20"/>
          <w:szCs w:val="20"/>
          <w:color w:val="auto"/>
        </w:rPr>
      </w:pPr>
    </w:p>
    <w:p>
      <w:pPr>
        <w:ind w:right="60" w:firstLine="648"/>
        <w:spacing w:after="0" w:line="260" w:lineRule="auto"/>
        <w:rPr>
          <w:sz w:val="20"/>
          <w:szCs w:val="20"/>
          <w:color w:val="auto"/>
        </w:rPr>
      </w:pPr>
      <w:r>
        <w:rPr>
          <w:rFonts w:ascii="Arial" w:cs="Arial" w:eastAsia="Arial" w:hAnsi="Arial"/>
          <w:sz w:val="16"/>
          <w:szCs w:val="16"/>
          <w:color w:val="auto"/>
        </w:rPr>
        <w:t>Net sales to customers outside the U.S. were $53.2 million and $47.9 million for the three months ended April 30, 2021 and 2020, respectively, and $100.4 million and $88.7 million, for the six months ended April 30, 2021 and 2020, respectively.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goodwill balance of $76.4 million as of April 30, 2021 and 2020 was wholly attributed to the International Farming segment.</w:t>
      </w:r>
    </w:p>
    <w:p>
      <w:pPr>
        <w:spacing w:after="0" w:line="200" w:lineRule="exact"/>
        <w:rPr>
          <w:sz w:val="20"/>
          <w:szCs w:val="20"/>
          <w:color w:val="auto"/>
        </w:rPr>
      </w:pPr>
    </w:p>
    <w:p>
      <w:pPr>
        <w:spacing w:after="0" w:line="26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77" w:right="339" w:bottom="1440" w:gutter="0" w:footer="0" w:header="0"/>
        </w:sectPr>
      </w:pPr>
    </w:p>
    <w:bookmarkStart w:id="16" w:name="page17"/>
    <w:bookmarkEnd w:id="16"/>
    <w:p>
      <w:pPr>
        <w:ind w:right="580"/>
        <w:spacing w:after="0" w:line="288" w:lineRule="auto"/>
        <w:rPr>
          <w:sz w:val="20"/>
          <w:szCs w:val="20"/>
          <w:color w:val="auto"/>
        </w:rPr>
      </w:pPr>
      <w:r>
        <w:rPr>
          <w:rFonts w:ascii="Arial" w:cs="Arial" w:eastAsia="Arial" w:hAnsi="Arial"/>
          <w:sz w:val="25"/>
          <w:szCs w:val="25"/>
          <w:b w:val="1"/>
          <w:bCs w:val="1"/>
          <w:color w:val="232F84"/>
        </w:rPr>
        <w:t>Item 2. Management’s Discussion and Analysis of Financial Condition and Results of Operations</w:t>
      </w:r>
    </w:p>
    <w:p>
      <w:pPr>
        <w:spacing w:after="0" w:line="152"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together with our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Overview</w:t>
      </w:r>
    </w:p>
    <w:p>
      <w:pPr>
        <w:spacing w:after="0" w:line="245" w:lineRule="exact"/>
        <w:rPr>
          <w:sz w:val="20"/>
          <w:szCs w:val="20"/>
          <w:color w:val="auto"/>
        </w:rPr>
      </w:pPr>
    </w:p>
    <w:p>
      <w:pPr>
        <w:ind w:right="380" w:firstLine="648"/>
        <w:spacing w:after="0" w:line="251" w:lineRule="auto"/>
        <w:rPr>
          <w:sz w:val="20"/>
          <w:szCs w:val="20"/>
          <w:color w:val="auto"/>
        </w:rPr>
      </w:pPr>
      <w:r>
        <w:rPr>
          <w:rFonts w:ascii="Arial" w:cs="Arial" w:eastAsia="Arial" w:hAnsi="Arial"/>
          <w:sz w:val="16"/>
          <w:szCs w:val="16"/>
          <w:color w:val="auto"/>
        </w:rPr>
        <w:t>We are a world leader in sourcing, producing and distributing fresh avocados, serving retail, wholesale and foodservice customers. We source, produce, pack and distribute avocados to our customers and provide value-added services including ripening, bagging, custom packing and logistical management. In addition, we provide our customers with merchandising and promotional support, insights on market trends and training designed to increase their retail avocado sales.</w:t>
      </w:r>
    </w:p>
    <w:p>
      <w:pPr>
        <w:spacing w:after="0" w:line="202" w:lineRule="exact"/>
        <w:rPr>
          <w:sz w:val="20"/>
          <w:szCs w:val="20"/>
          <w:color w:val="auto"/>
        </w:rPr>
      </w:pPr>
    </w:p>
    <w:p>
      <w:pPr>
        <w:ind w:right="200" w:firstLine="648"/>
        <w:spacing w:after="0" w:line="250" w:lineRule="auto"/>
        <w:rPr>
          <w:sz w:val="20"/>
          <w:szCs w:val="20"/>
          <w:color w:val="auto"/>
        </w:rPr>
      </w:pPr>
      <w:r>
        <w:rPr>
          <w:rFonts w:ascii="Arial" w:cs="Arial" w:eastAsia="Arial" w:hAnsi="Arial"/>
          <w:sz w:val="16"/>
          <w:szCs w:val="16"/>
          <w:color w:val="auto"/>
        </w:rPr>
        <w:t>We have two operating segments, which are also reporting segments. These reporting segments are Marketing and Distribution and International Farming. Our Marketing and Distribution reporting segment primarily sources fruit from growers and then distributes the fruit through our global distribution network. Our International Farming segment owns and operates avocado orchards (principally located in Peru) that supply our Marketing and Distribution segment with a stable supply of avocados. Substantially all fruit produced by our International Farming segment is sold to our Marketing and Distribution segment.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Results of Operations</w:t>
      </w:r>
    </w:p>
    <w:p>
      <w:pPr>
        <w:spacing w:after="0" w:line="245"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The operating results of our businesses are significantly impacted by the price and volume of avocados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203" w:lineRule="exact"/>
        <w:rPr>
          <w:sz w:val="20"/>
          <w:szCs w:val="20"/>
          <w:color w:val="auto"/>
        </w:rPr>
      </w:pPr>
    </w:p>
    <w:p>
      <w:pPr>
        <w:ind w:right="140" w:firstLine="648"/>
        <w:spacing w:after="0" w:line="248" w:lineRule="auto"/>
        <w:rPr>
          <w:sz w:val="20"/>
          <w:szCs w:val="20"/>
          <w:color w:val="auto"/>
        </w:rPr>
      </w:pPr>
      <w:r>
        <w:rPr>
          <w:rFonts w:ascii="Arial" w:cs="Arial" w:eastAsia="Arial" w:hAnsi="Arial"/>
          <w:sz w:val="16"/>
          <w:szCs w:val="16"/>
          <w:color w:val="auto"/>
        </w:rPr>
        <w:t>Our financial reporting currency is the U.S. dollar. The functional currency of substantially all of our subsidiaries is the U.S. dollar and substantially all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shd w:val="clear" w:color="auto" w:fill="232F84"/>
          </w:tcPr>
          <w:p>
            <w:pPr>
              <w:spacing w:after="0"/>
              <w:rPr>
                <w:sz w:val="15"/>
                <w:szCs w:val="15"/>
                <w:color w:val="auto"/>
              </w:rPr>
            </w:pPr>
          </w:p>
        </w:tc>
        <w:tc>
          <w:tcPr>
            <w:tcW w:w="340" w:type="dxa"/>
            <w:vAlign w:val="bottom"/>
            <w:shd w:val="clear" w:color="auto" w:fill="232F84"/>
          </w:tcPr>
          <w:p>
            <w:pPr>
              <w:spacing w:after="0"/>
              <w:rPr>
                <w:sz w:val="15"/>
                <w:szCs w:val="15"/>
                <w:color w:val="auto"/>
              </w:rPr>
            </w:pPr>
          </w:p>
        </w:tc>
        <w:tc>
          <w:tcPr>
            <w:tcW w:w="800" w:type="dxa"/>
            <w:vAlign w:val="bottom"/>
            <w:shd w:val="clear" w:color="auto" w:fill="232F84"/>
          </w:tcPr>
          <w:p>
            <w:pPr>
              <w:spacing w:after="0"/>
              <w:rPr>
                <w:sz w:val="15"/>
                <w:szCs w:val="15"/>
                <w:color w:val="auto"/>
              </w:rPr>
            </w:pPr>
          </w:p>
        </w:tc>
        <w:tc>
          <w:tcPr>
            <w:tcW w:w="2080" w:type="dxa"/>
            <w:vAlign w:val="bottom"/>
            <w:gridSpan w:val="3"/>
            <w:shd w:val="clear" w:color="auto" w:fill="232F84"/>
          </w:tcPr>
          <w:p>
            <w:pPr>
              <w:jc w:val="right"/>
              <w:ind w:right="548"/>
              <w:spacing w:after="0"/>
              <w:rPr>
                <w:sz w:val="20"/>
                <w:szCs w:val="20"/>
                <w:color w:val="auto"/>
              </w:rPr>
            </w:pPr>
            <w:r>
              <w:rPr>
                <w:rFonts w:ascii="Arial" w:cs="Arial" w:eastAsia="Arial" w:hAnsi="Arial"/>
                <w:sz w:val="14"/>
                <w:szCs w:val="14"/>
                <w:b w:val="1"/>
                <w:bCs w:val="1"/>
                <w:color w:val="FFFFFF"/>
              </w:rPr>
              <w:t>Three Months Ended</w:t>
            </w:r>
          </w:p>
        </w:tc>
        <w:tc>
          <w:tcPr>
            <w:tcW w:w="880" w:type="dxa"/>
            <w:vAlign w:val="bottom"/>
            <w:shd w:val="clear" w:color="auto" w:fill="232F84"/>
          </w:tcPr>
          <w:p>
            <w:pPr>
              <w:spacing w:after="0"/>
              <w:rPr>
                <w:sz w:val="15"/>
                <w:szCs w:val="15"/>
                <w:color w:val="auto"/>
              </w:rPr>
            </w:pPr>
          </w:p>
        </w:tc>
        <w:tc>
          <w:tcPr>
            <w:tcW w:w="36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1340" w:type="dxa"/>
            <w:vAlign w:val="bottom"/>
            <w:gridSpan w:val="2"/>
            <w:shd w:val="clear" w:color="auto" w:fill="232F84"/>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660" w:type="dxa"/>
            <w:vAlign w:val="bottom"/>
            <w:shd w:val="clear" w:color="auto" w:fill="232F84"/>
          </w:tcPr>
          <w:p>
            <w:pPr>
              <w:spacing w:after="0"/>
              <w:rPr>
                <w:sz w:val="15"/>
                <w:szCs w:val="15"/>
                <w:color w:val="auto"/>
              </w:rPr>
            </w:pPr>
          </w:p>
        </w:tc>
        <w:tc>
          <w:tcPr>
            <w:tcW w:w="560" w:type="dxa"/>
            <w:vAlign w:val="bottom"/>
            <w:shd w:val="clear" w:color="auto" w:fill="232F84"/>
          </w:tcPr>
          <w:p>
            <w:pPr>
              <w:spacing w:after="0"/>
              <w:rPr>
                <w:sz w:val="15"/>
                <w:szCs w:val="15"/>
                <w:color w:val="auto"/>
              </w:rPr>
            </w:pPr>
          </w:p>
        </w:tc>
      </w:tr>
      <w:tr>
        <w:trPr>
          <w:trHeight w:val="206"/>
        </w:trPr>
        <w:tc>
          <w:tcPr>
            <w:tcW w:w="3400" w:type="dxa"/>
            <w:vAlign w:val="bottom"/>
            <w:shd w:val="clear" w:color="auto" w:fill="232F84"/>
          </w:tcPr>
          <w:p>
            <w:pPr>
              <w:spacing w:after="0"/>
              <w:rPr>
                <w:sz w:val="17"/>
                <w:szCs w:val="17"/>
                <w:color w:val="auto"/>
              </w:rPr>
            </w:pPr>
          </w:p>
        </w:tc>
        <w:tc>
          <w:tcPr>
            <w:tcW w:w="340" w:type="dxa"/>
            <w:vAlign w:val="bottom"/>
            <w:shd w:val="clear" w:color="auto" w:fill="232F84"/>
          </w:tcPr>
          <w:p>
            <w:pPr>
              <w:spacing w:after="0"/>
              <w:rPr>
                <w:sz w:val="17"/>
                <w:szCs w:val="17"/>
                <w:color w:val="auto"/>
              </w:rPr>
            </w:pPr>
          </w:p>
        </w:tc>
        <w:tc>
          <w:tcPr>
            <w:tcW w:w="800" w:type="dxa"/>
            <w:vAlign w:val="bottom"/>
            <w:shd w:val="clear" w:color="auto" w:fill="232F84"/>
          </w:tcPr>
          <w:p>
            <w:pPr>
              <w:spacing w:after="0"/>
              <w:rPr>
                <w:sz w:val="17"/>
                <w:szCs w:val="17"/>
                <w:color w:val="auto"/>
              </w:rPr>
            </w:pPr>
          </w:p>
        </w:tc>
        <w:tc>
          <w:tcPr>
            <w:tcW w:w="1240" w:type="dxa"/>
            <w:vAlign w:val="bottom"/>
            <w:gridSpan w:val="2"/>
            <w:shd w:val="clear" w:color="auto" w:fill="232F84"/>
          </w:tcPr>
          <w:p>
            <w:pPr>
              <w:jc w:val="right"/>
              <w:ind w:right="128"/>
              <w:spacing w:after="0"/>
              <w:rPr>
                <w:sz w:val="20"/>
                <w:szCs w:val="20"/>
                <w:color w:val="auto"/>
              </w:rPr>
            </w:pPr>
            <w:r>
              <w:rPr>
                <w:rFonts w:ascii="Arial" w:cs="Arial" w:eastAsia="Arial" w:hAnsi="Arial"/>
                <w:sz w:val="14"/>
                <w:szCs w:val="14"/>
                <w:b w:val="1"/>
                <w:bCs w:val="1"/>
                <w:color w:val="FFFFFF"/>
              </w:rPr>
              <w:t>April 30,</w:t>
            </w:r>
          </w:p>
        </w:tc>
        <w:tc>
          <w:tcPr>
            <w:tcW w:w="840" w:type="dxa"/>
            <w:vAlign w:val="bottom"/>
            <w:shd w:val="clear" w:color="auto" w:fill="232F84"/>
          </w:tcPr>
          <w:p>
            <w:pPr>
              <w:spacing w:after="0"/>
              <w:rPr>
                <w:sz w:val="17"/>
                <w:szCs w:val="17"/>
                <w:color w:val="auto"/>
              </w:rPr>
            </w:pPr>
          </w:p>
        </w:tc>
        <w:tc>
          <w:tcPr>
            <w:tcW w:w="880" w:type="dxa"/>
            <w:vAlign w:val="bottom"/>
            <w:shd w:val="clear" w:color="auto" w:fill="232F84"/>
          </w:tcPr>
          <w:p>
            <w:pPr>
              <w:spacing w:after="0"/>
              <w:rPr>
                <w:sz w:val="17"/>
                <w:szCs w:val="17"/>
                <w:color w:val="auto"/>
              </w:rPr>
            </w:pPr>
          </w:p>
        </w:tc>
        <w:tc>
          <w:tcPr>
            <w:tcW w:w="360" w:type="dxa"/>
            <w:vAlign w:val="bottom"/>
            <w:shd w:val="clear" w:color="auto" w:fill="232F84"/>
          </w:tcPr>
          <w:p>
            <w:pPr>
              <w:spacing w:after="0"/>
              <w:rPr>
                <w:sz w:val="17"/>
                <w:szCs w:val="17"/>
                <w:color w:val="auto"/>
              </w:rPr>
            </w:pPr>
          </w:p>
        </w:tc>
        <w:tc>
          <w:tcPr>
            <w:tcW w:w="820" w:type="dxa"/>
            <w:vAlign w:val="bottom"/>
            <w:shd w:val="clear" w:color="auto" w:fill="232F84"/>
          </w:tcPr>
          <w:p>
            <w:pPr>
              <w:spacing w:after="0"/>
              <w:rPr>
                <w:sz w:val="17"/>
                <w:szCs w:val="17"/>
                <w:color w:val="auto"/>
              </w:rPr>
            </w:pPr>
          </w:p>
        </w:tc>
        <w:tc>
          <w:tcPr>
            <w:tcW w:w="1340" w:type="dxa"/>
            <w:vAlign w:val="bottom"/>
            <w:gridSpan w:val="2"/>
            <w:shd w:val="clear" w:color="auto" w:fill="232F84"/>
          </w:tcPr>
          <w:p>
            <w:pPr>
              <w:jc w:val="right"/>
              <w:ind w:right="288"/>
              <w:spacing w:after="0"/>
              <w:rPr>
                <w:sz w:val="20"/>
                <w:szCs w:val="20"/>
                <w:color w:val="auto"/>
              </w:rPr>
            </w:pPr>
            <w:r>
              <w:rPr>
                <w:rFonts w:ascii="Arial" w:cs="Arial" w:eastAsia="Arial" w:hAnsi="Arial"/>
                <w:sz w:val="14"/>
                <w:szCs w:val="14"/>
                <w:b w:val="1"/>
                <w:bCs w:val="1"/>
                <w:color w:val="FFFFFF"/>
              </w:rPr>
              <w:t>April 30,</w:t>
            </w:r>
          </w:p>
        </w:tc>
        <w:tc>
          <w:tcPr>
            <w:tcW w:w="660" w:type="dxa"/>
            <w:vAlign w:val="bottom"/>
            <w:shd w:val="clear" w:color="auto" w:fill="232F84"/>
          </w:tcPr>
          <w:p>
            <w:pPr>
              <w:spacing w:after="0"/>
              <w:rPr>
                <w:sz w:val="17"/>
                <w:szCs w:val="17"/>
                <w:color w:val="auto"/>
              </w:rPr>
            </w:pPr>
          </w:p>
        </w:tc>
        <w:tc>
          <w:tcPr>
            <w:tcW w:w="560" w:type="dxa"/>
            <w:vAlign w:val="bottom"/>
            <w:shd w:val="clear" w:color="auto" w:fill="232F84"/>
          </w:tcPr>
          <w:p>
            <w:pPr>
              <w:spacing w:after="0"/>
              <w:rPr>
                <w:sz w:val="17"/>
                <w:szCs w:val="17"/>
                <w:color w:val="auto"/>
              </w:rPr>
            </w:pPr>
          </w:p>
        </w:tc>
      </w:tr>
      <w:tr>
        <w:trPr>
          <w:trHeight w:val="230"/>
        </w:trPr>
        <w:tc>
          <w:tcPr>
            <w:tcW w:w="3400" w:type="dxa"/>
            <w:vAlign w:val="bottom"/>
            <w:shd w:val="clear" w:color="auto" w:fill="232F84"/>
          </w:tcPr>
          <w:p>
            <w:pPr>
              <w:spacing w:after="0"/>
              <w:rPr>
                <w:sz w:val="19"/>
                <w:szCs w:val="19"/>
                <w:color w:val="auto"/>
              </w:rPr>
            </w:pPr>
          </w:p>
        </w:tc>
        <w:tc>
          <w:tcPr>
            <w:tcW w:w="340" w:type="dxa"/>
            <w:vAlign w:val="bottom"/>
            <w:shd w:val="clear" w:color="auto" w:fill="232F84"/>
          </w:tcPr>
          <w:p>
            <w:pPr>
              <w:spacing w:after="0"/>
              <w:rPr>
                <w:sz w:val="19"/>
                <w:szCs w:val="19"/>
                <w:color w:val="auto"/>
              </w:rPr>
            </w:pPr>
          </w:p>
        </w:tc>
        <w:tc>
          <w:tcPr>
            <w:tcW w:w="8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2021</w:t>
            </w:r>
          </w:p>
        </w:tc>
        <w:tc>
          <w:tcPr>
            <w:tcW w:w="840" w:type="dxa"/>
            <w:vAlign w:val="bottom"/>
            <w:shd w:val="clear" w:color="auto" w:fill="232F84"/>
          </w:tcPr>
          <w:p>
            <w:pPr>
              <w:spacing w:after="0"/>
              <w:rPr>
                <w:sz w:val="19"/>
                <w:szCs w:val="19"/>
                <w:color w:val="auto"/>
              </w:rPr>
            </w:pPr>
          </w:p>
        </w:tc>
        <w:tc>
          <w:tcPr>
            <w:tcW w:w="400" w:type="dxa"/>
            <w:vAlign w:val="bottom"/>
            <w:shd w:val="clear" w:color="auto" w:fill="232F84"/>
          </w:tcPr>
          <w:p>
            <w:pPr>
              <w:spacing w:after="0"/>
              <w:rPr>
                <w:sz w:val="19"/>
                <w:szCs w:val="19"/>
                <w:color w:val="auto"/>
              </w:rPr>
            </w:pPr>
          </w:p>
        </w:tc>
        <w:tc>
          <w:tcPr>
            <w:tcW w:w="840" w:type="dxa"/>
            <w:vAlign w:val="bottom"/>
            <w:shd w:val="clear" w:color="auto" w:fill="232F84"/>
          </w:tcPr>
          <w:p>
            <w:pPr>
              <w:jc w:val="right"/>
              <w:ind w:right="108"/>
              <w:spacing w:after="0"/>
              <w:rPr>
                <w:sz w:val="20"/>
                <w:szCs w:val="20"/>
                <w:color w:val="auto"/>
              </w:rPr>
            </w:pPr>
            <w:r>
              <w:rPr>
                <w:rFonts w:ascii="Arial" w:cs="Arial" w:eastAsia="Arial" w:hAnsi="Arial"/>
                <w:sz w:val="14"/>
                <w:szCs w:val="14"/>
                <w:b w:val="1"/>
                <w:bCs w:val="1"/>
                <w:color w:val="FFFFFF"/>
              </w:rPr>
              <w:t>2020</w:t>
            </w:r>
          </w:p>
        </w:tc>
        <w:tc>
          <w:tcPr>
            <w:tcW w:w="880" w:type="dxa"/>
            <w:vAlign w:val="bottom"/>
            <w:shd w:val="clear" w:color="auto" w:fill="232F84"/>
          </w:tcPr>
          <w:p>
            <w:pPr>
              <w:spacing w:after="0"/>
              <w:rPr>
                <w:sz w:val="19"/>
                <w:szCs w:val="19"/>
                <w:color w:val="auto"/>
              </w:rPr>
            </w:pPr>
          </w:p>
        </w:tc>
        <w:tc>
          <w:tcPr>
            <w:tcW w:w="360" w:type="dxa"/>
            <w:vAlign w:val="bottom"/>
            <w:shd w:val="clear" w:color="auto" w:fill="232F84"/>
          </w:tcPr>
          <w:p>
            <w:pPr>
              <w:spacing w:after="0"/>
              <w:rPr>
                <w:sz w:val="19"/>
                <w:szCs w:val="19"/>
                <w:color w:val="auto"/>
              </w:rPr>
            </w:pPr>
          </w:p>
        </w:tc>
        <w:tc>
          <w:tcPr>
            <w:tcW w:w="82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2021</w:t>
            </w:r>
          </w:p>
        </w:tc>
        <w:tc>
          <w:tcPr>
            <w:tcW w:w="760" w:type="dxa"/>
            <w:vAlign w:val="bottom"/>
            <w:shd w:val="clear" w:color="auto" w:fill="232F84"/>
          </w:tcPr>
          <w:p>
            <w:pPr>
              <w:spacing w:after="0"/>
              <w:rPr>
                <w:sz w:val="19"/>
                <w:szCs w:val="19"/>
                <w:color w:val="auto"/>
              </w:rPr>
            </w:pPr>
          </w:p>
        </w:tc>
        <w:tc>
          <w:tcPr>
            <w:tcW w:w="580" w:type="dxa"/>
            <w:vAlign w:val="bottom"/>
            <w:shd w:val="clear" w:color="auto" w:fill="232F84"/>
          </w:tcPr>
          <w:p>
            <w:pPr>
              <w:spacing w:after="0"/>
              <w:rPr>
                <w:sz w:val="19"/>
                <w:szCs w:val="19"/>
                <w:color w:val="auto"/>
              </w:rPr>
            </w:pPr>
          </w:p>
        </w:tc>
        <w:tc>
          <w:tcPr>
            <w:tcW w:w="660" w:type="dxa"/>
            <w:vAlign w:val="bottom"/>
            <w:shd w:val="clear" w:color="auto" w:fill="232F84"/>
          </w:tcPr>
          <w:p>
            <w:pPr>
              <w:jc w:val="right"/>
              <w:ind w:right="108"/>
              <w:spacing w:after="0"/>
              <w:rPr>
                <w:sz w:val="20"/>
                <w:szCs w:val="20"/>
                <w:color w:val="auto"/>
              </w:rPr>
            </w:pPr>
            <w:r>
              <w:rPr>
                <w:rFonts w:ascii="Arial" w:cs="Arial" w:eastAsia="Arial" w:hAnsi="Arial"/>
                <w:sz w:val="14"/>
                <w:szCs w:val="14"/>
                <w:b w:val="1"/>
                <w:bCs w:val="1"/>
                <w:color w:val="FFFFFF"/>
              </w:rPr>
              <w:t>2020</w:t>
            </w:r>
          </w:p>
        </w:tc>
        <w:tc>
          <w:tcPr>
            <w:tcW w:w="560" w:type="dxa"/>
            <w:vAlign w:val="bottom"/>
            <w:shd w:val="clear" w:color="auto" w:fill="232F84"/>
          </w:tcPr>
          <w:p>
            <w:pPr>
              <w:spacing w:after="0"/>
              <w:rPr>
                <w:sz w:val="19"/>
                <w:szCs w:val="19"/>
                <w:color w:val="auto"/>
              </w:rPr>
            </w:pPr>
          </w:p>
        </w:tc>
      </w:tr>
      <w:tr>
        <w:trPr>
          <w:trHeight w:val="226"/>
        </w:trPr>
        <w:tc>
          <w:tcPr>
            <w:tcW w:w="340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 except for percentages)</w:t>
            </w:r>
          </w:p>
        </w:tc>
        <w:tc>
          <w:tcPr>
            <w:tcW w:w="340" w:type="dxa"/>
            <w:vAlign w:val="bottom"/>
            <w:shd w:val="clear" w:color="auto" w:fill="232F84"/>
          </w:tcPr>
          <w:p>
            <w:pPr>
              <w:spacing w:after="0"/>
              <w:rPr>
                <w:sz w:val="19"/>
                <w:szCs w:val="19"/>
                <w:color w:val="auto"/>
              </w:rPr>
            </w:pPr>
          </w:p>
        </w:tc>
        <w:tc>
          <w:tcPr>
            <w:tcW w:w="8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Dollars</w:t>
            </w:r>
          </w:p>
        </w:tc>
        <w:tc>
          <w:tcPr>
            <w:tcW w:w="84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w:t>
            </w:r>
          </w:p>
        </w:tc>
        <w:tc>
          <w:tcPr>
            <w:tcW w:w="400" w:type="dxa"/>
            <w:vAlign w:val="bottom"/>
            <w:shd w:val="clear" w:color="auto" w:fill="232F84"/>
          </w:tcPr>
          <w:p>
            <w:pPr>
              <w:spacing w:after="0"/>
              <w:rPr>
                <w:sz w:val="19"/>
                <w:szCs w:val="19"/>
                <w:color w:val="auto"/>
              </w:rPr>
            </w:pPr>
          </w:p>
        </w:tc>
        <w:tc>
          <w:tcPr>
            <w:tcW w:w="84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Dollars</w:t>
            </w:r>
          </w:p>
        </w:tc>
        <w:tc>
          <w:tcPr>
            <w:tcW w:w="880" w:type="dxa"/>
            <w:vAlign w:val="bottom"/>
            <w:shd w:val="clear" w:color="auto" w:fill="232F84"/>
          </w:tcPr>
          <w:p>
            <w:pPr>
              <w:jc w:val="right"/>
              <w:ind w:right="268"/>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232F84"/>
          </w:tcPr>
          <w:p>
            <w:pPr>
              <w:spacing w:after="0"/>
              <w:rPr>
                <w:sz w:val="19"/>
                <w:szCs w:val="19"/>
                <w:color w:val="auto"/>
              </w:rPr>
            </w:pPr>
          </w:p>
        </w:tc>
        <w:tc>
          <w:tcPr>
            <w:tcW w:w="820" w:type="dxa"/>
            <w:vAlign w:val="bottom"/>
            <w:shd w:val="clear" w:color="auto" w:fill="232F84"/>
          </w:tcPr>
          <w:p>
            <w:pPr>
              <w:jc w:val="right"/>
              <w:ind w:right="8"/>
              <w:spacing w:after="0"/>
              <w:rPr>
                <w:sz w:val="20"/>
                <w:szCs w:val="20"/>
                <w:color w:val="auto"/>
              </w:rPr>
            </w:pPr>
            <w:r>
              <w:rPr>
                <w:rFonts w:ascii="Arial" w:cs="Arial" w:eastAsia="Arial" w:hAnsi="Arial"/>
                <w:sz w:val="14"/>
                <w:szCs w:val="14"/>
                <w:b w:val="1"/>
                <w:bCs w:val="1"/>
                <w:color w:val="FFFFFF"/>
              </w:rPr>
              <w:t>Dollars</w:t>
            </w:r>
          </w:p>
        </w:tc>
        <w:tc>
          <w:tcPr>
            <w:tcW w:w="76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w:t>
            </w:r>
          </w:p>
        </w:tc>
        <w:tc>
          <w:tcPr>
            <w:tcW w:w="580" w:type="dxa"/>
            <w:vAlign w:val="bottom"/>
            <w:shd w:val="clear" w:color="auto" w:fill="232F84"/>
          </w:tcPr>
          <w:p>
            <w:pPr>
              <w:spacing w:after="0"/>
              <w:rPr>
                <w:sz w:val="19"/>
                <w:szCs w:val="19"/>
                <w:color w:val="auto"/>
              </w:rPr>
            </w:pPr>
          </w:p>
        </w:tc>
        <w:tc>
          <w:tcPr>
            <w:tcW w:w="66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Dollars</w:t>
            </w:r>
          </w:p>
        </w:tc>
        <w:tc>
          <w:tcPr>
            <w:tcW w:w="5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w:t>
            </w:r>
          </w:p>
        </w:tc>
      </w:tr>
      <w:tr>
        <w:trPr>
          <w:trHeight w:val="216"/>
        </w:trPr>
        <w:tc>
          <w:tcPr>
            <w:tcW w:w="340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shd w:val="clear" w:color="auto" w:fill="43C0B9"/>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234.7</w:t>
            </w:r>
          </w:p>
        </w:tc>
        <w:tc>
          <w:tcPr>
            <w:tcW w:w="84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100 %</w:t>
            </w:r>
          </w:p>
        </w:tc>
        <w:tc>
          <w:tcPr>
            <w:tcW w:w="400" w:type="dxa"/>
            <w:vAlign w:val="bottom"/>
            <w:shd w:val="clear" w:color="auto" w:fill="43C0B9"/>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221.6</w:t>
            </w:r>
          </w:p>
        </w:tc>
        <w:tc>
          <w:tcPr>
            <w:tcW w:w="880" w:type="dxa"/>
            <w:vAlign w:val="bottom"/>
            <w:shd w:val="clear" w:color="auto" w:fill="43C0B9"/>
          </w:tcPr>
          <w:p>
            <w:pPr>
              <w:jc w:val="right"/>
              <w:ind w:right="268"/>
              <w:spacing w:after="0"/>
              <w:rPr>
                <w:sz w:val="20"/>
                <w:szCs w:val="20"/>
                <w:color w:val="auto"/>
              </w:rPr>
            </w:pPr>
            <w:r>
              <w:rPr>
                <w:rFonts w:ascii="Arial" w:cs="Arial" w:eastAsia="Arial" w:hAnsi="Arial"/>
                <w:sz w:val="14"/>
                <w:szCs w:val="14"/>
                <w:color w:val="auto"/>
              </w:rPr>
              <w:t>100 %</w:t>
            </w:r>
          </w:p>
        </w:tc>
        <w:tc>
          <w:tcPr>
            <w:tcW w:w="360" w:type="dxa"/>
            <w:vAlign w:val="bottom"/>
            <w:shd w:val="clear" w:color="auto" w:fill="43C0B9"/>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407.9</w:t>
            </w:r>
          </w:p>
        </w:tc>
        <w:tc>
          <w:tcPr>
            <w:tcW w:w="76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100 %</w:t>
            </w:r>
          </w:p>
        </w:tc>
        <w:tc>
          <w:tcPr>
            <w:tcW w:w="580" w:type="dxa"/>
            <w:vAlign w:val="bottom"/>
            <w:shd w:val="clear" w:color="auto" w:fill="43C0B9"/>
          </w:tcPr>
          <w:p>
            <w:pPr>
              <w:jc w:val="right"/>
              <w:ind w:right="408"/>
              <w:spacing w:after="0"/>
              <w:rPr>
                <w:sz w:val="20"/>
                <w:szCs w:val="20"/>
                <w:color w:val="auto"/>
              </w:rPr>
            </w:pPr>
            <w:r>
              <w:rPr>
                <w:rFonts w:ascii="Arial" w:cs="Arial" w:eastAsia="Arial" w:hAnsi="Arial"/>
                <w:sz w:val="14"/>
                <w:szCs w:val="14"/>
                <w:color w:val="auto"/>
              </w:rPr>
              <w:t>$</w:t>
            </w:r>
          </w:p>
        </w:tc>
        <w:tc>
          <w:tcPr>
            <w:tcW w:w="66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419.1</w:t>
            </w:r>
          </w:p>
        </w:tc>
        <w:tc>
          <w:tcPr>
            <w:tcW w:w="5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100 %</w:t>
            </w:r>
          </w:p>
        </w:tc>
      </w:tr>
      <w:tr>
        <w:trPr>
          <w:trHeight w:val="21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207.6</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88 %</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200.1</w:t>
            </w: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90 %</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358.1</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88 %</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378.2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90 %</w:t>
            </w:r>
          </w:p>
        </w:tc>
      </w:tr>
      <w:tr>
        <w:trPr>
          <w:trHeight w:val="216"/>
        </w:trPr>
        <w:tc>
          <w:tcPr>
            <w:tcW w:w="3400" w:type="dxa"/>
            <w:vAlign w:val="bottom"/>
            <w:shd w:val="clear" w:color="auto" w:fill="43C0B9"/>
          </w:tcPr>
          <w:p>
            <w:pPr>
              <w:ind w:left="20"/>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43C0B9"/>
          </w:tcPr>
          <w:p>
            <w:pPr>
              <w:spacing w:after="0"/>
              <w:rPr>
                <w:sz w:val="18"/>
                <w:szCs w:val="18"/>
                <w:color w:val="auto"/>
              </w:rPr>
            </w:pPr>
          </w:p>
        </w:tc>
        <w:tc>
          <w:tcPr>
            <w:tcW w:w="8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27.1</w:t>
            </w:r>
          </w:p>
        </w:tc>
        <w:tc>
          <w:tcPr>
            <w:tcW w:w="84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12 %</w:t>
            </w:r>
          </w:p>
        </w:tc>
        <w:tc>
          <w:tcPr>
            <w:tcW w:w="400" w:type="dxa"/>
            <w:vAlign w:val="bottom"/>
            <w:shd w:val="clear" w:color="auto" w:fill="43C0B9"/>
          </w:tcPr>
          <w:p>
            <w:pPr>
              <w:spacing w:after="0"/>
              <w:rPr>
                <w:sz w:val="18"/>
                <w:szCs w:val="18"/>
                <w:color w:val="auto"/>
              </w:rPr>
            </w:pPr>
          </w:p>
        </w:tc>
        <w:tc>
          <w:tcPr>
            <w:tcW w:w="84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21.5</w:t>
            </w:r>
          </w:p>
        </w:tc>
        <w:tc>
          <w:tcPr>
            <w:tcW w:w="880" w:type="dxa"/>
            <w:vAlign w:val="bottom"/>
            <w:shd w:val="clear" w:color="auto" w:fill="43C0B9"/>
          </w:tcPr>
          <w:p>
            <w:pPr>
              <w:jc w:val="right"/>
              <w:ind w:right="268"/>
              <w:spacing w:after="0"/>
              <w:rPr>
                <w:sz w:val="20"/>
                <w:szCs w:val="20"/>
                <w:color w:val="auto"/>
              </w:rPr>
            </w:pPr>
            <w:r>
              <w:rPr>
                <w:rFonts w:ascii="Arial" w:cs="Arial" w:eastAsia="Arial" w:hAnsi="Arial"/>
                <w:sz w:val="14"/>
                <w:szCs w:val="14"/>
                <w:color w:val="auto"/>
              </w:rPr>
              <w:t>10 %</w:t>
            </w:r>
          </w:p>
        </w:tc>
        <w:tc>
          <w:tcPr>
            <w:tcW w:w="360" w:type="dxa"/>
            <w:vAlign w:val="bottom"/>
            <w:shd w:val="clear" w:color="auto" w:fill="43C0B9"/>
          </w:tcPr>
          <w:p>
            <w:pPr>
              <w:spacing w:after="0"/>
              <w:rPr>
                <w:sz w:val="18"/>
                <w:szCs w:val="18"/>
                <w:color w:val="auto"/>
              </w:rPr>
            </w:pPr>
          </w:p>
        </w:tc>
        <w:tc>
          <w:tcPr>
            <w:tcW w:w="8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49.8</w:t>
            </w:r>
          </w:p>
        </w:tc>
        <w:tc>
          <w:tcPr>
            <w:tcW w:w="76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12 %</w:t>
            </w:r>
          </w:p>
        </w:tc>
        <w:tc>
          <w:tcPr>
            <w:tcW w:w="580" w:type="dxa"/>
            <w:vAlign w:val="bottom"/>
            <w:shd w:val="clear" w:color="auto" w:fill="43C0B9"/>
          </w:tcPr>
          <w:p>
            <w:pPr>
              <w:spacing w:after="0"/>
              <w:rPr>
                <w:sz w:val="18"/>
                <w:szCs w:val="18"/>
                <w:color w:val="auto"/>
              </w:rPr>
            </w:pPr>
          </w:p>
        </w:tc>
        <w:tc>
          <w:tcPr>
            <w:tcW w:w="66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40.9</w:t>
            </w:r>
          </w:p>
        </w:tc>
        <w:tc>
          <w:tcPr>
            <w:tcW w:w="5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10 %</w:t>
            </w:r>
          </w:p>
        </w:tc>
      </w:tr>
      <w:tr>
        <w:trPr>
          <w:trHeight w:val="21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7 %</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w:t>
            </w: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5 %</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8 %</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r>
      <w:tr>
        <w:trPr>
          <w:trHeight w:val="215"/>
        </w:trPr>
        <w:tc>
          <w:tcPr>
            <w:tcW w:w="3400" w:type="dxa"/>
            <w:vAlign w:val="bottom"/>
            <w:shd w:val="clear" w:color="auto" w:fill="43C0B9"/>
          </w:tcPr>
          <w:p>
            <w:pPr>
              <w:ind w:left="20"/>
              <w:spacing w:after="0"/>
              <w:rPr>
                <w:sz w:val="20"/>
                <w:szCs w:val="20"/>
                <w:color w:val="auto"/>
              </w:rPr>
            </w:pPr>
            <w:r>
              <w:rPr>
                <w:rFonts w:ascii="Arial" w:cs="Arial" w:eastAsia="Arial" w:hAnsi="Arial"/>
                <w:sz w:val="14"/>
                <w:szCs w:val="14"/>
                <w:color w:val="auto"/>
              </w:rPr>
              <w:t>Operating income</w:t>
            </w:r>
          </w:p>
        </w:tc>
        <w:tc>
          <w:tcPr>
            <w:tcW w:w="340" w:type="dxa"/>
            <w:vAlign w:val="bottom"/>
            <w:shd w:val="clear" w:color="auto" w:fill="43C0B9"/>
          </w:tcPr>
          <w:p>
            <w:pPr>
              <w:spacing w:after="0"/>
              <w:rPr>
                <w:sz w:val="18"/>
                <w:szCs w:val="18"/>
                <w:color w:val="auto"/>
              </w:rPr>
            </w:pPr>
          </w:p>
        </w:tc>
        <w:tc>
          <w:tcPr>
            <w:tcW w:w="8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10.8</w:t>
            </w:r>
          </w:p>
        </w:tc>
        <w:tc>
          <w:tcPr>
            <w:tcW w:w="84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5 %</w:t>
            </w:r>
          </w:p>
        </w:tc>
        <w:tc>
          <w:tcPr>
            <w:tcW w:w="400" w:type="dxa"/>
            <w:vAlign w:val="bottom"/>
            <w:shd w:val="clear" w:color="auto" w:fill="43C0B9"/>
          </w:tcPr>
          <w:p>
            <w:pPr>
              <w:spacing w:after="0"/>
              <w:rPr>
                <w:sz w:val="18"/>
                <w:szCs w:val="18"/>
                <w:color w:val="auto"/>
              </w:rPr>
            </w:pPr>
          </w:p>
        </w:tc>
        <w:tc>
          <w:tcPr>
            <w:tcW w:w="84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10.4</w:t>
            </w:r>
          </w:p>
        </w:tc>
        <w:tc>
          <w:tcPr>
            <w:tcW w:w="880" w:type="dxa"/>
            <w:vAlign w:val="bottom"/>
            <w:shd w:val="clear" w:color="auto" w:fill="43C0B9"/>
          </w:tcPr>
          <w:p>
            <w:pPr>
              <w:jc w:val="right"/>
              <w:ind w:right="268"/>
              <w:spacing w:after="0"/>
              <w:rPr>
                <w:sz w:val="20"/>
                <w:szCs w:val="20"/>
                <w:color w:val="auto"/>
              </w:rPr>
            </w:pPr>
            <w:r>
              <w:rPr>
                <w:rFonts w:ascii="Arial" w:cs="Arial" w:eastAsia="Arial" w:hAnsi="Arial"/>
                <w:sz w:val="14"/>
                <w:szCs w:val="14"/>
                <w:color w:val="auto"/>
              </w:rPr>
              <w:t>5 %</w:t>
            </w:r>
          </w:p>
        </w:tc>
        <w:tc>
          <w:tcPr>
            <w:tcW w:w="360" w:type="dxa"/>
            <w:vAlign w:val="bottom"/>
            <w:shd w:val="clear" w:color="auto" w:fill="43C0B9"/>
          </w:tcPr>
          <w:p>
            <w:pPr>
              <w:spacing w:after="0"/>
              <w:rPr>
                <w:sz w:val="18"/>
                <w:szCs w:val="18"/>
                <w:color w:val="auto"/>
              </w:rPr>
            </w:pPr>
          </w:p>
        </w:tc>
        <w:tc>
          <w:tcPr>
            <w:tcW w:w="8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18.9</w:t>
            </w:r>
          </w:p>
        </w:tc>
        <w:tc>
          <w:tcPr>
            <w:tcW w:w="76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5 %</w:t>
            </w:r>
          </w:p>
        </w:tc>
        <w:tc>
          <w:tcPr>
            <w:tcW w:w="580" w:type="dxa"/>
            <w:vAlign w:val="bottom"/>
            <w:shd w:val="clear" w:color="auto" w:fill="43C0B9"/>
          </w:tcPr>
          <w:p>
            <w:pPr>
              <w:spacing w:after="0"/>
              <w:rPr>
                <w:sz w:val="18"/>
                <w:szCs w:val="18"/>
                <w:color w:val="auto"/>
              </w:rPr>
            </w:pPr>
          </w:p>
        </w:tc>
        <w:tc>
          <w:tcPr>
            <w:tcW w:w="66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15.0</w:t>
            </w:r>
          </w:p>
        </w:tc>
        <w:tc>
          <w:tcPr>
            <w:tcW w:w="5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4 %</w:t>
            </w:r>
          </w:p>
        </w:tc>
      </w:tr>
      <w:tr>
        <w:trPr>
          <w:trHeight w:val="210"/>
        </w:trPr>
        <w:tc>
          <w:tcPr>
            <w:tcW w:w="3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 %</w:t>
            </w:r>
          </w:p>
        </w:tc>
        <w:tc>
          <w:tcPr>
            <w:tcW w:w="40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 %</w:t>
            </w:r>
          </w:p>
        </w:tc>
        <w:tc>
          <w:tcPr>
            <w:tcW w:w="580" w:type="dxa"/>
            <w:vAlign w:val="bottom"/>
          </w:tcPr>
          <w:p>
            <w:pPr>
              <w:spacing w:after="0"/>
              <w:rPr>
                <w:sz w:val="18"/>
                <w:szCs w:val="18"/>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2"/>
        </w:trPr>
        <w:tc>
          <w:tcPr>
            <w:tcW w:w="3400" w:type="dxa"/>
            <w:vAlign w:val="bottom"/>
            <w:shd w:val="clear" w:color="auto" w:fill="43C0B9"/>
          </w:tcPr>
          <w:p>
            <w:pPr>
              <w:ind w:left="20"/>
              <w:spacing w:after="0"/>
              <w:rPr>
                <w:sz w:val="20"/>
                <w:szCs w:val="20"/>
                <w:color w:val="auto"/>
              </w:rPr>
            </w:pPr>
            <w:r>
              <w:rPr>
                <w:rFonts w:ascii="Arial" w:cs="Arial" w:eastAsia="Arial" w:hAnsi="Arial"/>
                <w:sz w:val="14"/>
                <w:szCs w:val="14"/>
                <w:color w:val="auto"/>
              </w:rPr>
              <w:t>Equity method (loss) income</w:t>
            </w:r>
          </w:p>
        </w:tc>
        <w:tc>
          <w:tcPr>
            <w:tcW w:w="340" w:type="dxa"/>
            <w:vAlign w:val="bottom"/>
            <w:shd w:val="clear" w:color="auto" w:fill="43C0B9"/>
          </w:tcPr>
          <w:p>
            <w:pPr>
              <w:spacing w:after="0"/>
              <w:rPr>
                <w:sz w:val="19"/>
                <w:szCs w:val="19"/>
                <w:color w:val="auto"/>
              </w:rPr>
            </w:pPr>
          </w:p>
        </w:tc>
        <w:tc>
          <w:tcPr>
            <w:tcW w:w="8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(0.2)</w:t>
            </w:r>
          </w:p>
        </w:tc>
        <w:tc>
          <w:tcPr>
            <w:tcW w:w="84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 %</w:t>
            </w:r>
          </w:p>
        </w:tc>
        <w:tc>
          <w:tcPr>
            <w:tcW w:w="400" w:type="dxa"/>
            <w:vAlign w:val="bottom"/>
            <w:shd w:val="clear" w:color="auto" w:fill="43C0B9"/>
          </w:tcPr>
          <w:p>
            <w:pPr>
              <w:spacing w:after="0"/>
              <w:rPr>
                <w:sz w:val="19"/>
                <w:szCs w:val="19"/>
                <w:color w:val="auto"/>
              </w:rPr>
            </w:pPr>
          </w:p>
        </w:tc>
        <w:tc>
          <w:tcPr>
            <w:tcW w:w="84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0.4</w:t>
            </w:r>
          </w:p>
        </w:tc>
        <w:tc>
          <w:tcPr>
            <w:tcW w:w="880" w:type="dxa"/>
            <w:vAlign w:val="bottom"/>
            <w:shd w:val="clear" w:color="auto" w:fill="43C0B9"/>
          </w:tcPr>
          <w:p>
            <w:pPr>
              <w:jc w:val="right"/>
              <w:ind w:right="268"/>
              <w:spacing w:after="0"/>
              <w:rPr>
                <w:sz w:val="20"/>
                <w:szCs w:val="20"/>
                <w:color w:val="auto"/>
              </w:rPr>
            </w:pPr>
            <w:r>
              <w:rPr>
                <w:rFonts w:ascii="Arial" w:cs="Arial" w:eastAsia="Arial" w:hAnsi="Arial"/>
                <w:sz w:val="14"/>
                <w:szCs w:val="14"/>
                <w:color w:val="auto"/>
              </w:rPr>
              <w:t>— %</w:t>
            </w:r>
          </w:p>
        </w:tc>
        <w:tc>
          <w:tcPr>
            <w:tcW w:w="360" w:type="dxa"/>
            <w:vAlign w:val="bottom"/>
            <w:shd w:val="clear" w:color="auto" w:fill="43C0B9"/>
          </w:tcPr>
          <w:p>
            <w:pPr>
              <w:spacing w:after="0"/>
              <w:rPr>
                <w:sz w:val="19"/>
                <w:szCs w:val="19"/>
                <w:color w:val="auto"/>
              </w:rPr>
            </w:pPr>
          </w:p>
        </w:tc>
        <w:tc>
          <w:tcPr>
            <w:tcW w:w="8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2.1</w:t>
            </w:r>
          </w:p>
        </w:tc>
        <w:tc>
          <w:tcPr>
            <w:tcW w:w="76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1 %</w:t>
            </w:r>
          </w:p>
        </w:tc>
        <w:tc>
          <w:tcPr>
            <w:tcW w:w="580" w:type="dxa"/>
            <w:vAlign w:val="bottom"/>
            <w:shd w:val="clear" w:color="auto" w:fill="43C0B9"/>
          </w:tcPr>
          <w:p>
            <w:pPr>
              <w:spacing w:after="0"/>
              <w:rPr>
                <w:sz w:val="19"/>
                <w:szCs w:val="19"/>
                <w:color w:val="auto"/>
              </w:rPr>
            </w:pPr>
          </w:p>
        </w:tc>
        <w:tc>
          <w:tcPr>
            <w:tcW w:w="66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0.4</w:t>
            </w:r>
          </w:p>
        </w:tc>
        <w:tc>
          <w:tcPr>
            <w:tcW w:w="5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 %</w:t>
            </w:r>
          </w:p>
        </w:tc>
      </w:tr>
      <w:tr>
        <w:trPr>
          <w:trHeight w:val="210"/>
        </w:trPr>
        <w:tc>
          <w:tcPr>
            <w:tcW w:w="3400" w:type="dxa"/>
            <w:vAlign w:val="bottom"/>
          </w:tcPr>
          <w:p>
            <w:pPr>
              <w:ind w:left="20"/>
              <w:spacing w:after="0"/>
              <w:rPr>
                <w:sz w:val="20"/>
                <w:szCs w:val="20"/>
                <w:color w:val="auto"/>
              </w:rPr>
            </w:pPr>
            <w:r>
              <w:rPr>
                <w:rFonts w:ascii="Arial" w:cs="Arial" w:eastAsia="Arial" w:hAnsi="Arial"/>
                <w:sz w:val="14"/>
                <w:szCs w:val="14"/>
                <w:color w:val="auto"/>
              </w:rPr>
              <w:t>Impairment on equity method investment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 %</w:t>
            </w:r>
          </w:p>
        </w:tc>
        <w:tc>
          <w:tcPr>
            <w:tcW w:w="40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(21.2)</w:t>
            </w: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 %</w:t>
            </w:r>
          </w:p>
        </w:tc>
        <w:tc>
          <w:tcPr>
            <w:tcW w:w="580" w:type="dxa"/>
            <w:vAlign w:val="bottom"/>
          </w:tcPr>
          <w:p>
            <w:pPr>
              <w:spacing w:after="0"/>
              <w:rPr>
                <w:sz w:val="18"/>
                <w:szCs w:val="18"/>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(21.2)</w:t>
            </w: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34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 (expense) income, net</w:t>
            </w:r>
          </w:p>
        </w:tc>
        <w:tc>
          <w:tcPr>
            <w:tcW w:w="340" w:type="dxa"/>
            <w:vAlign w:val="bottom"/>
            <w:tcBorders>
              <w:bottom w:val="single" w:sz="8" w:color="auto"/>
            </w:tcBorders>
            <w:shd w:val="clear" w:color="auto" w:fill="43C0B9"/>
          </w:tcPr>
          <w:p>
            <w:pPr>
              <w:spacing w:after="0"/>
              <w:rPr>
                <w:sz w:val="18"/>
                <w:szCs w:val="18"/>
                <w:color w:val="auto"/>
              </w:rPr>
            </w:pPr>
          </w:p>
        </w:tc>
        <w:tc>
          <w:tcPr>
            <w:tcW w:w="8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(0.3)</w:t>
            </w:r>
          </w:p>
        </w:tc>
        <w:tc>
          <w:tcPr>
            <w:tcW w:w="84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 %</w:t>
            </w:r>
          </w:p>
        </w:tc>
        <w:tc>
          <w:tcPr>
            <w:tcW w:w="400" w:type="dxa"/>
            <w:vAlign w:val="bottom"/>
            <w:tcBorders>
              <w:bottom w:val="single" w:sz="8" w:color="auto"/>
            </w:tcBorders>
            <w:shd w:val="clear" w:color="auto" w:fill="43C0B9"/>
          </w:tcPr>
          <w:p>
            <w:pPr>
              <w:spacing w:after="0"/>
              <w:rPr>
                <w:sz w:val="18"/>
                <w:szCs w:val="18"/>
                <w:color w:val="auto"/>
              </w:rPr>
            </w:pPr>
          </w:p>
        </w:tc>
        <w:tc>
          <w:tcPr>
            <w:tcW w:w="840" w:type="dxa"/>
            <w:vAlign w:val="bottom"/>
            <w:tcBorders>
              <w:bottom w:val="single" w:sz="8" w:color="auto"/>
            </w:tcBorders>
            <w:shd w:val="clear" w:color="auto" w:fill="43C0B9"/>
          </w:tcPr>
          <w:p>
            <w:pPr>
              <w:jc w:val="right"/>
              <w:ind w:right="108"/>
              <w:spacing w:after="0"/>
              <w:rPr>
                <w:sz w:val="20"/>
                <w:szCs w:val="20"/>
                <w:color w:val="auto"/>
              </w:rPr>
            </w:pPr>
            <w:r>
              <w:rPr>
                <w:rFonts w:ascii="Arial" w:cs="Arial" w:eastAsia="Arial" w:hAnsi="Arial"/>
                <w:sz w:val="14"/>
                <w:szCs w:val="14"/>
                <w:color w:val="auto"/>
              </w:rPr>
              <w:t>1.4</w:t>
            </w:r>
          </w:p>
        </w:tc>
        <w:tc>
          <w:tcPr>
            <w:tcW w:w="880" w:type="dxa"/>
            <w:vAlign w:val="bottom"/>
            <w:tcBorders>
              <w:bottom w:val="single" w:sz="8" w:color="auto"/>
            </w:tcBorders>
            <w:shd w:val="clear" w:color="auto" w:fill="43C0B9"/>
          </w:tcPr>
          <w:p>
            <w:pPr>
              <w:jc w:val="right"/>
              <w:ind w:right="268"/>
              <w:spacing w:after="0"/>
              <w:rPr>
                <w:sz w:val="20"/>
                <w:szCs w:val="20"/>
                <w:color w:val="auto"/>
              </w:rPr>
            </w:pPr>
            <w:r>
              <w:rPr>
                <w:rFonts w:ascii="Arial" w:cs="Arial" w:eastAsia="Arial" w:hAnsi="Arial"/>
                <w:sz w:val="14"/>
                <w:szCs w:val="14"/>
                <w:color w:val="auto"/>
              </w:rPr>
              <w:t>1 %</w:t>
            </w:r>
          </w:p>
        </w:tc>
        <w:tc>
          <w:tcPr>
            <w:tcW w:w="360" w:type="dxa"/>
            <w:vAlign w:val="bottom"/>
            <w:tcBorders>
              <w:bottom w:val="single" w:sz="8" w:color="auto"/>
            </w:tcBorders>
            <w:shd w:val="clear" w:color="auto" w:fill="43C0B9"/>
          </w:tcPr>
          <w:p>
            <w:pPr>
              <w:spacing w:after="0"/>
              <w:rPr>
                <w:sz w:val="18"/>
                <w:szCs w:val="18"/>
                <w:color w:val="auto"/>
              </w:rPr>
            </w:pPr>
          </w:p>
        </w:tc>
        <w:tc>
          <w:tcPr>
            <w:tcW w:w="82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(0.3)</w:t>
            </w:r>
          </w:p>
        </w:tc>
        <w:tc>
          <w:tcPr>
            <w:tcW w:w="76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auto"/>
            </w:tcBorders>
            <w:shd w:val="clear" w:color="auto" w:fill="43C0B9"/>
          </w:tcPr>
          <w:p>
            <w:pPr>
              <w:spacing w:after="0"/>
              <w:rPr>
                <w:sz w:val="18"/>
                <w:szCs w:val="18"/>
                <w:color w:val="auto"/>
              </w:rPr>
            </w:pPr>
          </w:p>
        </w:tc>
        <w:tc>
          <w:tcPr>
            <w:tcW w:w="660" w:type="dxa"/>
            <w:vAlign w:val="bottom"/>
            <w:tcBorders>
              <w:bottom w:val="single" w:sz="8" w:color="auto"/>
            </w:tcBorders>
            <w:shd w:val="clear" w:color="auto" w:fill="43C0B9"/>
          </w:tcPr>
          <w:p>
            <w:pPr>
              <w:jc w:val="right"/>
              <w:ind w:right="108"/>
              <w:spacing w:after="0"/>
              <w:rPr>
                <w:sz w:val="20"/>
                <w:szCs w:val="20"/>
                <w:color w:val="auto"/>
              </w:rPr>
            </w:pPr>
            <w:r>
              <w:rPr>
                <w:rFonts w:ascii="Arial" w:cs="Arial" w:eastAsia="Arial" w:hAnsi="Arial"/>
                <w:sz w:val="14"/>
                <w:szCs w:val="14"/>
                <w:color w:val="auto"/>
              </w:rPr>
              <w:t>1.0</w:t>
            </w:r>
          </w:p>
        </w:tc>
        <w:tc>
          <w:tcPr>
            <w:tcW w:w="5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 %</w:t>
            </w:r>
          </w:p>
        </w:tc>
      </w:tr>
      <w:tr>
        <w:trPr>
          <w:trHeight w:val="209"/>
        </w:trPr>
        <w:tc>
          <w:tcPr>
            <w:tcW w:w="34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4 %</w:t>
            </w:r>
          </w:p>
        </w:tc>
        <w:tc>
          <w:tcPr>
            <w:tcW w:w="40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5 %</w:t>
            </w:r>
          </w:p>
        </w:tc>
        <w:tc>
          <w:tcPr>
            <w:tcW w:w="580" w:type="dxa"/>
            <w:vAlign w:val="bottom"/>
          </w:tcPr>
          <w:p>
            <w:pPr>
              <w:spacing w:after="0"/>
              <w:rPr>
                <w:sz w:val="18"/>
                <w:szCs w:val="18"/>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34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auto"/>
            </w:tcBorders>
            <w:shd w:val="clear" w:color="auto" w:fill="43C0B9"/>
          </w:tcPr>
          <w:p>
            <w:pPr>
              <w:spacing w:after="0"/>
              <w:rPr>
                <w:sz w:val="18"/>
                <w:szCs w:val="18"/>
                <w:color w:val="auto"/>
              </w:rPr>
            </w:pPr>
          </w:p>
        </w:tc>
        <w:tc>
          <w:tcPr>
            <w:tcW w:w="80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2.1</w:t>
            </w:r>
          </w:p>
        </w:tc>
        <w:tc>
          <w:tcPr>
            <w:tcW w:w="84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1 %</w:t>
            </w:r>
          </w:p>
        </w:tc>
        <w:tc>
          <w:tcPr>
            <w:tcW w:w="400" w:type="dxa"/>
            <w:vAlign w:val="bottom"/>
            <w:tcBorders>
              <w:bottom w:val="single" w:sz="8" w:color="auto"/>
            </w:tcBorders>
            <w:shd w:val="clear" w:color="auto" w:fill="43C0B9"/>
          </w:tcPr>
          <w:p>
            <w:pPr>
              <w:spacing w:after="0"/>
              <w:rPr>
                <w:sz w:val="18"/>
                <w:szCs w:val="18"/>
                <w:color w:val="auto"/>
              </w:rPr>
            </w:pPr>
          </w:p>
        </w:tc>
        <w:tc>
          <w:tcPr>
            <w:tcW w:w="840" w:type="dxa"/>
            <w:vAlign w:val="bottom"/>
            <w:tcBorders>
              <w:bottom w:val="single" w:sz="8" w:color="auto"/>
            </w:tcBorders>
            <w:shd w:val="clear" w:color="auto" w:fill="43C0B9"/>
          </w:tcPr>
          <w:p>
            <w:pPr>
              <w:jc w:val="right"/>
              <w:ind w:right="108"/>
              <w:spacing w:after="0"/>
              <w:rPr>
                <w:sz w:val="20"/>
                <w:szCs w:val="20"/>
                <w:color w:val="auto"/>
              </w:rPr>
            </w:pPr>
            <w:r>
              <w:rPr>
                <w:rFonts w:ascii="Arial" w:cs="Arial" w:eastAsia="Arial" w:hAnsi="Arial"/>
                <w:sz w:val="14"/>
                <w:szCs w:val="14"/>
                <w:color w:val="auto"/>
              </w:rPr>
              <w:t>3.5</w:t>
            </w:r>
          </w:p>
        </w:tc>
        <w:tc>
          <w:tcPr>
            <w:tcW w:w="880" w:type="dxa"/>
            <w:vAlign w:val="bottom"/>
            <w:tcBorders>
              <w:bottom w:val="single" w:sz="8" w:color="auto"/>
            </w:tcBorders>
            <w:shd w:val="clear" w:color="auto" w:fill="43C0B9"/>
          </w:tcPr>
          <w:p>
            <w:pPr>
              <w:jc w:val="right"/>
              <w:ind w:right="268"/>
              <w:spacing w:after="0"/>
              <w:rPr>
                <w:sz w:val="20"/>
                <w:szCs w:val="20"/>
                <w:color w:val="auto"/>
              </w:rPr>
            </w:pPr>
            <w:r>
              <w:rPr>
                <w:rFonts w:ascii="Arial" w:cs="Arial" w:eastAsia="Arial" w:hAnsi="Arial"/>
                <w:sz w:val="14"/>
                <w:szCs w:val="14"/>
                <w:color w:val="auto"/>
              </w:rPr>
              <w:t>2 %</w:t>
            </w:r>
          </w:p>
        </w:tc>
        <w:tc>
          <w:tcPr>
            <w:tcW w:w="360" w:type="dxa"/>
            <w:vAlign w:val="bottom"/>
            <w:tcBorders>
              <w:bottom w:val="single" w:sz="8" w:color="auto"/>
            </w:tcBorders>
            <w:shd w:val="clear" w:color="auto" w:fill="43C0B9"/>
          </w:tcPr>
          <w:p>
            <w:pPr>
              <w:spacing w:after="0"/>
              <w:rPr>
                <w:sz w:val="18"/>
                <w:szCs w:val="18"/>
                <w:color w:val="auto"/>
              </w:rPr>
            </w:pPr>
          </w:p>
        </w:tc>
        <w:tc>
          <w:tcPr>
            <w:tcW w:w="82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9.4</w:t>
            </w:r>
          </w:p>
        </w:tc>
        <w:tc>
          <w:tcPr>
            <w:tcW w:w="76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2 %</w:t>
            </w:r>
          </w:p>
        </w:tc>
        <w:tc>
          <w:tcPr>
            <w:tcW w:w="580" w:type="dxa"/>
            <w:vAlign w:val="bottom"/>
            <w:tcBorders>
              <w:bottom w:val="single" w:sz="8" w:color="auto"/>
            </w:tcBorders>
            <w:shd w:val="clear" w:color="auto" w:fill="43C0B9"/>
          </w:tcPr>
          <w:p>
            <w:pPr>
              <w:spacing w:after="0"/>
              <w:rPr>
                <w:sz w:val="18"/>
                <w:szCs w:val="18"/>
                <w:color w:val="auto"/>
              </w:rPr>
            </w:pPr>
          </w:p>
        </w:tc>
        <w:tc>
          <w:tcPr>
            <w:tcW w:w="660" w:type="dxa"/>
            <w:vAlign w:val="bottom"/>
            <w:tcBorders>
              <w:bottom w:val="single" w:sz="8" w:color="auto"/>
            </w:tcBorders>
            <w:shd w:val="clear" w:color="auto" w:fill="43C0B9"/>
          </w:tcPr>
          <w:p>
            <w:pPr>
              <w:jc w:val="right"/>
              <w:ind w:right="108"/>
              <w:spacing w:after="0"/>
              <w:rPr>
                <w:sz w:val="20"/>
                <w:szCs w:val="20"/>
                <w:color w:val="auto"/>
              </w:rPr>
            </w:pPr>
            <w:r>
              <w:rPr>
                <w:rFonts w:ascii="Arial" w:cs="Arial" w:eastAsia="Arial" w:hAnsi="Arial"/>
                <w:sz w:val="14"/>
                <w:szCs w:val="14"/>
                <w:color w:val="auto"/>
              </w:rPr>
              <w:t>4.2</w:t>
            </w:r>
          </w:p>
        </w:tc>
        <w:tc>
          <w:tcPr>
            <w:tcW w:w="5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1 %</w:t>
            </w:r>
          </w:p>
        </w:tc>
      </w:tr>
      <w:tr>
        <w:trPr>
          <w:trHeight w:val="21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3 %</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w:t>
            </w: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(7)%</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2 %</w:t>
            </w: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Net sales</w:t>
      </w:r>
    </w:p>
    <w:p>
      <w:pPr>
        <w:spacing w:after="0" w:line="241"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Our net sales are generated predominantly from the shipment of fresh avocados to retail, wholesale and foodservice customers worldwide. Our net sales are affected by numerous factors, including mainly the balance between the supply of and demand for our produce and</w:t>
      </w:r>
    </w:p>
    <w:p>
      <w:pPr>
        <w:sectPr>
          <w:pgSz w:w="11900" w:h="16838" w:orient="portrait"/>
          <w:cols w:equalWidth="0" w:num="1">
            <w:col w:w="11240"/>
          </w:cols>
          <w:pgMar w:left="320" w:top="865"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865" w:right="339" w:bottom="1440" w:gutter="0" w:footer="0" w:header="0"/>
          <w:type w:val="continuous"/>
        </w:sectPr>
      </w:pPr>
    </w:p>
    <w:bookmarkStart w:id="17" w:name="page18"/>
    <w:bookmarkEnd w:id="17"/>
    <w:p>
      <w:pPr>
        <w:ind w:right="100"/>
        <w:spacing w:after="0" w:line="260" w:lineRule="auto"/>
        <w:rPr>
          <w:sz w:val="20"/>
          <w:szCs w:val="20"/>
          <w:color w:val="auto"/>
        </w:rPr>
      </w:pPr>
      <w:r>
        <w:rPr>
          <w:rFonts w:ascii="Arial" w:cs="Arial" w:eastAsia="Arial" w:hAnsi="Arial"/>
          <w:sz w:val="16"/>
          <w:szCs w:val="16"/>
          <w:color w:val="auto"/>
        </w:rPr>
        <w:t>competition from other fresh produce companies. Our net sales are also dependent on our ability to supply a consistent volume and quality of fresh produce to the markets we serve.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40" w:type="dxa"/>
            <w:vAlign w:val="bottom"/>
            <w:shd w:val="clear" w:color="auto" w:fill="232F84"/>
          </w:tcPr>
          <w:p>
            <w:pPr>
              <w:spacing w:after="0"/>
              <w:rPr>
                <w:sz w:val="15"/>
                <w:szCs w:val="15"/>
                <w:color w:val="auto"/>
              </w:rPr>
            </w:pPr>
          </w:p>
        </w:tc>
        <w:tc>
          <w:tcPr>
            <w:tcW w:w="500" w:type="dxa"/>
            <w:vAlign w:val="bottom"/>
            <w:shd w:val="clear" w:color="auto" w:fill="232F84"/>
          </w:tcPr>
          <w:p>
            <w:pPr>
              <w:spacing w:after="0"/>
              <w:rPr>
                <w:sz w:val="15"/>
                <w:szCs w:val="15"/>
                <w:color w:val="auto"/>
              </w:rPr>
            </w:pPr>
          </w:p>
        </w:tc>
        <w:tc>
          <w:tcPr>
            <w:tcW w:w="204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750" w:type="dxa"/>
            <w:vAlign w:val="bottom"/>
            <w:shd w:val="clear" w:color="auto" w:fill="232F84"/>
          </w:tcPr>
          <w:p>
            <w:pPr>
              <w:spacing w:after="0"/>
              <w:rPr>
                <w:sz w:val="15"/>
                <w:szCs w:val="15"/>
                <w:color w:val="auto"/>
              </w:rPr>
            </w:pPr>
          </w:p>
        </w:tc>
        <w:tc>
          <w:tcPr>
            <w:tcW w:w="610" w:type="dxa"/>
            <w:vAlign w:val="bottom"/>
            <w:shd w:val="clear" w:color="auto" w:fill="232F84"/>
          </w:tcPr>
          <w:p>
            <w:pPr>
              <w:spacing w:after="0"/>
              <w:rPr>
                <w:sz w:val="15"/>
                <w:szCs w:val="15"/>
                <w:color w:val="auto"/>
              </w:rPr>
            </w:pPr>
          </w:p>
        </w:tc>
        <w:tc>
          <w:tcPr>
            <w:tcW w:w="1980" w:type="dxa"/>
            <w:vAlign w:val="bottom"/>
            <w:gridSpan w:val="2"/>
            <w:shd w:val="clear" w:color="auto" w:fill="232F84"/>
          </w:tcPr>
          <w:p>
            <w:pPr>
              <w:jc w:val="right"/>
              <w:ind w:right="208"/>
              <w:spacing w:after="0"/>
              <w:rPr>
                <w:sz w:val="20"/>
                <w:szCs w:val="20"/>
                <w:color w:val="auto"/>
              </w:rPr>
            </w:pPr>
            <w:r>
              <w:rPr>
                <w:rFonts w:ascii="Arial" w:cs="Arial" w:eastAsia="Arial" w:hAnsi="Arial"/>
                <w:sz w:val="14"/>
                <w:szCs w:val="14"/>
                <w:b w:val="1"/>
                <w:bCs w:val="1"/>
                <w:color w:val="FFFFFF"/>
              </w:rPr>
              <w:t>Six Months Ended</w:t>
            </w:r>
          </w:p>
        </w:tc>
        <w:tc>
          <w:tcPr>
            <w:tcW w:w="720" w:type="dxa"/>
            <w:vAlign w:val="bottom"/>
            <w:shd w:val="clear" w:color="auto" w:fill="232F84"/>
          </w:tcPr>
          <w:p>
            <w:pPr>
              <w:spacing w:after="0"/>
              <w:rPr>
                <w:sz w:val="15"/>
                <w:szCs w:val="15"/>
                <w:color w:val="auto"/>
              </w:rPr>
            </w:pPr>
          </w:p>
        </w:tc>
      </w:tr>
      <w:tr>
        <w:trPr>
          <w:trHeight w:val="206"/>
        </w:trPr>
        <w:tc>
          <w:tcPr>
            <w:tcW w:w="4640" w:type="dxa"/>
            <w:vAlign w:val="bottom"/>
            <w:shd w:val="clear" w:color="auto" w:fill="232F84"/>
          </w:tcPr>
          <w:p>
            <w:pPr>
              <w:spacing w:after="0"/>
              <w:rPr>
                <w:sz w:val="17"/>
                <w:szCs w:val="17"/>
                <w:color w:val="auto"/>
              </w:rPr>
            </w:pPr>
          </w:p>
        </w:tc>
        <w:tc>
          <w:tcPr>
            <w:tcW w:w="50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right"/>
              <w:ind w:right="588"/>
              <w:spacing w:after="0"/>
              <w:rPr>
                <w:sz w:val="20"/>
                <w:szCs w:val="20"/>
                <w:color w:val="auto"/>
              </w:rPr>
            </w:pPr>
            <w:r>
              <w:rPr>
                <w:rFonts w:ascii="Arial" w:cs="Arial" w:eastAsia="Arial" w:hAnsi="Arial"/>
                <w:sz w:val="14"/>
                <w:szCs w:val="14"/>
                <w:b w:val="1"/>
                <w:bCs w:val="1"/>
                <w:color w:val="FFFFFF"/>
              </w:rPr>
              <w:t>April 30,</w:t>
            </w:r>
          </w:p>
        </w:tc>
        <w:tc>
          <w:tcPr>
            <w:tcW w:w="750" w:type="dxa"/>
            <w:vAlign w:val="bottom"/>
            <w:shd w:val="clear" w:color="auto" w:fill="232F84"/>
          </w:tcPr>
          <w:p>
            <w:pPr>
              <w:spacing w:after="0"/>
              <w:rPr>
                <w:sz w:val="17"/>
                <w:szCs w:val="17"/>
                <w:color w:val="auto"/>
              </w:rPr>
            </w:pPr>
          </w:p>
        </w:tc>
        <w:tc>
          <w:tcPr>
            <w:tcW w:w="610" w:type="dxa"/>
            <w:vAlign w:val="bottom"/>
            <w:shd w:val="clear" w:color="auto" w:fill="232F84"/>
          </w:tcPr>
          <w:p>
            <w:pPr>
              <w:spacing w:after="0"/>
              <w:rPr>
                <w:sz w:val="17"/>
                <w:szCs w:val="17"/>
                <w:color w:val="auto"/>
              </w:rPr>
            </w:pPr>
          </w:p>
        </w:tc>
        <w:tc>
          <w:tcPr>
            <w:tcW w:w="1980" w:type="dxa"/>
            <w:vAlign w:val="bottom"/>
            <w:gridSpan w:val="2"/>
            <w:shd w:val="clear" w:color="auto" w:fill="232F84"/>
          </w:tcPr>
          <w:p>
            <w:pPr>
              <w:jc w:val="right"/>
              <w:ind w:right="548"/>
              <w:spacing w:after="0"/>
              <w:rPr>
                <w:sz w:val="20"/>
                <w:szCs w:val="20"/>
                <w:color w:val="auto"/>
              </w:rPr>
            </w:pPr>
            <w:r>
              <w:rPr>
                <w:rFonts w:ascii="Arial" w:cs="Arial" w:eastAsia="Arial" w:hAnsi="Arial"/>
                <w:sz w:val="14"/>
                <w:szCs w:val="14"/>
                <w:b w:val="1"/>
                <w:bCs w:val="1"/>
                <w:color w:val="FFFFFF"/>
              </w:rPr>
              <w:t>April 30,</w:t>
            </w:r>
          </w:p>
        </w:tc>
        <w:tc>
          <w:tcPr>
            <w:tcW w:w="720" w:type="dxa"/>
            <w:vAlign w:val="bottom"/>
            <w:shd w:val="clear" w:color="auto" w:fill="232F84"/>
          </w:tcPr>
          <w:p>
            <w:pPr>
              <w:spacing w:after="0"/>
              <w:rPr>
                <w:sz w:val="17"/>
                <w:szCs w:val="17"/>
                <w:color w:val="auto"/>
              </w:rPr>
            </w:pPr>
          </w:p>
        </w:tc>
      </w:tr>
      <w:tr>
        <w:trPr>
          <w:trHeight w:val="226"/>
        </w:trPr>
        <w:tc>
          <w:tcPr>
            <w:tcW w:w="46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00" w:type="dxa"/>
            <w:vAlign w:val="bottom"/>
            <w:shd w:val="clear" w:color="auto" w:fill="232F84"/>
          </w:tcPr>
          <w:p>
            <w:pPr>
              <w:spacing w:after="0"/>
              <w:rPr>
                <w:sz w:val="19"/>
                <w:szCs w:val="19"/>
                <w:color w:val="auto"/>
              </w:rPr>
            </w:pPr>
          </w:p>
        </w:tc>
        <w:tc>
          <w:tcPr>
            <w:tcW w:w="108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9"/>
                <w:szCs w:val="19"/>
                <w:color w:val="auto"/>
              </w:rPr>
            </w:pPr>
          </w:p>
        </w:tc>
        <w:tc>
          <w:tcPr>
            <w:tcW w:w="750" w:type="dxa"/>
            <w:vAlign w:val="bottom"/>
            <w:shd w:val="clear" w:color="auto" w:fill="232F84"/>
          </w:tcPr>
          <w:p>
            <w:pPr>
              <w:jc w:val="right"/>
              <w:ind w:right="138"/>
              <w:spacing w:after="0"/>
              <w:rPr>
                <w:sz w:val="20"/>
                <w:szCs w:val="20"/>
                <w:color w:val="auto"/>
              </w:rPr>
            </w:pPr>
            <w:r>
              <w:rPr>
                <w:rFonts w:ascii="Arial" w:cs="Arial" w:eastAsia="Arial" w:hAnsi="Arial"/>
                <w:sz w:val="14"/>
                <w:szCs w:val="14"/>
                <w:b w:val="1"/>
                <w:bCs w:val="1"/>
                <w:color w:val="FFFFFF"/>
              </w:rPr>
              <w:t>2020</w:t>
            </w:r>
          </w:p>
        </w:tc>
        <w:tc>
          <w:tcPr>
            <w:tcW w:w="610" w:type="dxa"/>
            <w:vAlign w:val="bottom"/>
            <w:shd w:val="clear" w:color="auto" w:fill="232F84"/>
          </w:tcPr>
          <w:p>
            <w:pPr>
              <w:spacing w:after="0"/>
              <w:rPr>
                <w:sz w:val="19"/>
                <w:szCs w:val="19"/>
                <w:color w:val="auto"/>
              </w:rPr>
            </w:pPr>
          </w:p>
        </w:tc>
        <w:tc>
          <w:tcPr>
            <w:tcW w:w="106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9"/>
                <w:szCs w:val="19"/>
                <w:color w:val="auto"/>
              </w:rPr>
            </w:pPr>
          </w:p>
        </w:tc>
        <w:tc>
          <w:tcPr>
            <w:tcW w:w="72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464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sales:</w:t>
            </w:r>
          </w:p>
        </w:tc>
        <w:tc>
          <w:tcPr>
            <w:tcW w:w="500" w:type="dxa"/>
            <w:vAlign w:val="bottom"/>
            <w:shd w:val="clear" w:color="auto" w:fill="43C0B9"/>
          </w:tcPr>
          <w:p>
            <w:pPr>
              <w:spacing w:after="0"/>
              <w:rPr>
                <w:sz w:val="18"/>
                <w:szCs w:val="18"/>
                <w:color w:val="auto"/>
              </w:rPr>
            </w:pPr>
          </w:p>
        </w:tc>
        <w:tc>
          <w:tcPr>
            <w:tcW w:w="1080" w:type="dxa"/>
            <w:vAlign w:val="bottom"/>
            <w:shd w:val="clear" w:color="auto" w:fill="43C0B9"/>
          </w:tcPr>
          <w:p>
            <w:pPr>
              <w:spacing w:after="0"/>
              <w:rPr>
                <w:sz w:val="18"/>
                <w:szCs w:val="18"/>
                <w:color w:val="auto"/>
              </w:rPr>
            </w:pPr>
          </w:p>
        </w:tc>
        <w:tc>
          <w:tcPr>
            <w:tcW w:w="960" w:type="dxa"/>
            <w:vAlign w:val="bottom"/>
            <w:shd w:val="clear" w:color="auto" w:fill="43C0B9"/>
          </w:tcPr>
          <w:p>
            <w:pPr>
              <w:spacing w:after="0"/>
              <w:rPr>
                <w:sz w:val="18"/>
                <w:szCs w:val="18"/>
                <w:color w:val="auto"/>
              </w:rPr>
            </w:pPr>
          </w:p>
        </w:tc>
        <w:tc>
          <w:tcPr>
            <w:tcW w:w="750" w:type="dxa"/>
            <w:vAlign w:val="bottom"/>
            <w:shd w:val="clear" w:color="auto" w:fill="43C0B9"/>
          </w:tcPr>
          <w:p>
            <w:pPr>
              <w:spacing w:after="0"/>
              <w:rPr>
                <w:sz w:val="18"/>
                <w:szCs w:val="18"/>
                <w:color w:val="auto"/>
              </w:rPr>
            </w:pPr>
          </w:p>
        </w:tc>
        <w:tc>
          <w:tcPr>
            <w:tcW w:w="610" w:type="dxa"/>
            <w:vAlign w:val="bottom"/>
            <w:shd w:val="clear" w:color="auto" w:fill="43C0B9"/>
          </w:tcPr>
          <w:p>
            <w:pPr>
              <w:spacing w:after="0"/>
              <w:rPr>
                <w:sz w:val="18"/>
                <w:szCs w:val="18"/>
                <w:color w:val="auto"/>
              </w:rPr>
            </w:pPr>
          </w:p>
        </w:tc>
        <w:tc>
          <w:tcPr>
            <w:tcW w:w="1060" w:type="dxa"/>
            <w:vAlign w:val="bottom"/>
            <w:shd w:val="clear" w:color="auto" w:fill="43C0B9"/>
          </w:tcPr>
          <w:p>
            <w:pPr>
              <w:spacing w:after="0"/>
              <w:rPr>
                <w:sz w:val="18"/>
                <w:szCs w:val="18"/>
                <w:color w:val="auto"/>
              </w:rPr>
            </w:pPr>
          </w:p>
        </w:tc>
        <w:tc>
          <w:tcPr>
            <w:tcW w:w="920" w:type="dxa"/>
            <w:vAlign w:val="bottom"/>
            <w:shd w:val="clear" w:color="auto" w:fill="43C0B9"/>
          </w:tcPr>
          <w:p>
            <w:pPr>
              <w:spacing w:after="0"/>
              <w:rPr>
                <w:sz w:val="18"/>
                <w:szCs w:val="18"/>
                <w:color w:val="auto"/>
              </w:rPr>
            </w:pPr>
          </w:p>
        </w:tc>
        <w:tc>
          <w:tcPr>
            <w:tcW w:w="720" w:type="dxa"/>
            <w:vAlign w:val="bottom"/>
            <w:shd w:val="clear" w:color="auto" w:fill="43C0B9"/>
          </w:tcPr>
          <w:p>
            <w:pPr>
              <w:spacing w:after="0"/>
              <w:rPr>
                <w:sz w:val="18"/>
                <w:szCs w:val="18"/>
                <w:color w:val="auto"/>
              </w:rPr>
            </w:pPr>
          </w:p>
        </w:tc>
      </w:tr>
      <w:tr>
        <w:trPr>
          <w:trHeight w:val="210"/>
        </w:trPr>
        <w:tc>
          <w:tcPr>
            <w:tcW w:w="4640" w:type="dxa"/>
            <w:vAlign w:val="bottom"/>
          </w:tcPr>
          <w:p>
            <w:pPr>
              <w:ind w:left="240"/>
              <w:spacing w:after="0"/>
              <w:rPr>
                <w:sz w:val="20"/>
                <w:szCs w:val="20"/>
                <w:color w:val="auto"/>
              </w:rPr>
            </w:pPr>
            <w:r>
              <w:rPr>
                <w:rFonts w:ascii="Arial" w:cs="Arial" w:eastAsia="Arial" w:hAnsi="Arial"/>
                <w:sz w:val="14"/>
                <w:szCs w:val="14"/>
                <w:color w:val="auto"/>
              </w:rPr>
              <w:t>Marketing and Distribution</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232.4</w:t>
            </w:r>
          </w:p>
        </w:tc>
        <w:tc>
          <w:tcPr>
            <w:tcW w:w="96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78"/>
              <w:spacing w:after="0"/>
              <w:rPr>
                <w:sz w:val="20"/>
                <w:szCs w:val="20"/>
                <w:color w:val="auto"/>
              </w:rPr>
            </w:pPr>
            <w:r>
              <w:rPr>
                <w:rFonts w:ascii="Arial" w:cs="Arial" w:eastAsia="Arial" w:hAnsi="Arial"/>
                <w:sz w:val="14"/>
                <w:szCs w:val="14"/>
                <w:color w:val="auto"/>
              </w:rPr>
              <w:t>219.5</w:t>
            </w:r>
          </w:p>
        </w:tc>
        <w:tc>
          <w:tcPr>
            <w:tcW w:w="61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402.0</w:t>
            </w: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414.0</w:t>
            </w:r>
          </w:p>
        </w:tc>
      </w:tr>
      <w:tr>
        <w:trPr>
          <w:trHeight w:val="216"/>
        </w:trPr>
        <w:tc>
          <w:tcPr>
            <w:tcW w:w="4640" w:type="dxa"/>
            <w:vAlign w:val="bottom"/>
            <w:tcBorders>
              <w:bottom w:val="single" w:sz="8" w:color="auto"/>
            </w:tcBorders>
            <w:shd w:val="clear" w:color="auto" w:fill="43C0B9"/>
          </w:tcPr>
          <w:p>
            <w:pPr>
              <w:ind w:left="240"/>
              <w:spacing w:after="0"/>
              <w:rPr>
                <w:sz w:val="20"/>
                <w:szCs w:val="20"/>
                <w:color w:val="auto"/>
              </w:rPr>
            </w:pPr>
            <w:r>
              <w:rPr>
                <w:rFonts w:ascii="Arial" w:cs="Arial" w:eastAsia="Arial" w:hAnsi="Arial"/>
                <w:sz w:val="14"/>
                <w:szCs w:val="14"/>
                <w:color w:val="auto"/>
              </w:rPr>
              <w:t>International Farming</w:t>
            </w:r>
          </w:p>
        </w:tc>
        <w:tc>
          <w:tcPr>
            <w:tcW w:w="500" w:type="dxa"/>
            <w:vAlign w:val="bottom"/>
            <w:tcBorders>
              <w:bottom w:val="single" w:sz="8" w:color="auto"/>
            </w:tcBorders>
            <w:shd w:val="clear" w:color="auto" w:fill="43C0B9"/>
          </w:tcPr>
          <w:p>
            <w:pPr>
              <w:spacing w:after="0"/>
              <w:rPr>
                <w:sz w:val="18"/>
                <w:szCs w:val="18"/>
                <w:color w:val="auto"/>
              </w:rPr>
            </w:pPr>
          </w:p>
        </w:tc>
        <w:tc>
          <w:tcPr>
            <w:tcW w:w="10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2.3</w:t>
            </w:r>
          </w:p>
        </w:tc>
        <w:tc>
          <w:tcPr>
            <w:tcW w:w="960" w:type="dxa"/>
            <w:vAlign w:val="bottom"/>
            <w:tcBorders>
              <w:bottom w:val="single" w:sz="8" w:color="auto"/>
            </w:tcBorders>
            <w:shd w:val="clear" w:color="auto" w:fill="43C0B9"/>
          </w:tcPr>
          <w:p>
            <w:pPr>
              <w:spacing w:after="0"/>
              <w:rPr>
                <w:sz w:val="18"/>
                <w:szCs w:val="18"/>
                <w:color w:val="auto"/>
              </w:rPr>
            </w:pPr>
          </w:p>
        </w:tc>
        <w:tc>
          <w:tcPr>
            <w:tcW w:w="750" w:type="dxa"/>
            <w:vAlign w:val="bottom"/>
            <w:tcBorders>
              <w:bottom w:val="single" w:sz="8" w:color="auto"/>
            </w:tcBorders>
            <w:shd w:val="clear" w:color="auto" w:fill="43C0B9"/>
          </w:tcPr>
          <w:p>
            <w:pPr>
              <w:jc w:val="right"/>
              <w:ind w:right="78"/>
              <w:spacing w:after="0"/>
              <w:rPr>
                <w:sz w:val="20"/>
                <w:szCs w:val="20"/>
                <w:color w:val="auto"/>
              </w:rPr>
            </w:pPr>
            <w:r>
              <w:rPr>
                <w:rFonts w:ascii="Arial" w:cs="Arial" w:eastAsia="Arial" w:hAnsi="Arial"/>
                <w:sz w:val="14"/>
                <w:szCs w:val="14"/>
                <w:color w:val="auto"/>
              </w:rPr>
              <w:t>2.1</w:t>
            </w:r>
          </w:p>
        </w:tc>
        <w:tc>
          <w:tcPr>
            <w:tcW w:w="610" w:type="dxa"/>
            <w:vAlign w:val="bottom"/>
            <w:tcBorders>
              <w:bottom w:val="single" w:sz="8" w:color="auto"/>
            </w:tcBorders>
            <w:shd w:val="clear" w:color="auto" w:fill="43C0B9"/>
          </w:tcPr>
          <w:p>
            <w:pPr>
              <w:spacing w:after="0"/>
              <w:rPr>
                <w:sz w:val="18"/>
                <w:szCs w:val="18"/>
                <w:color w:val="auto"/>
              </w:rPr>
            </w:pPr>
          </w:p>
        </w:tc>
        <w:tc>
          <w:tcPr>
            <w:tcW w:w="106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5.9</w:t>
            </w:r>
          </w:p>
        </w:tc>
        <w:tc>
          <w:tcPr>
            <w:tcW w:w="92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5.1</w:t>
            </w:r>
          </w:p>
        </w:tc>
      </w:tr>
      <w:tr>
        <w:trPr>
          <w:trHeight w:val="21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234.7</w:t>
            </w:r>
          </w:p>
        </w:tc>
        <w:tc>
          <w:tcPr>
            <w:tcW w:w="9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75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221.6</w:t>
            </w:r>
          </w:p>
        </w:tc>
        <w:tc>
          <w:tcPr>
            <w:tcW w:w="61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407.9</w:t>
            </w:r>
          </w:p>
        </w:tc>
        <w:tc>
          <w:tcPr>
            <w:tcW w:w="9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419.1</w:t>
            </w:r>
          </w:p>
        </w:tc>
      </w:tr>
    </w:tbl>
    <w:p>
      <w:pPr>
        <w:spacing w:after="0" w:line="218"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Net sales increased $13.1 million or 6% in the three months ended April 30, 2021 compared to the same period last year primarily due to a 22% increase in avocado volume sold, partially offset by a 14% decrease in average per-unit avocado sales prices. Volume increases and average price decreases were driven by strong industry supply from Mexico in the three months ended April 30, 2021. In addition, volume during the three months ended April 30, 2020 was negatively impacted by COVID-19 related stay at-home orders that went into effect in March 2020.</w:t>
      </w:r>
    </w:p>
    <w:p>
      <w:pPr>
        <w:spacing w:after="0" w:line="202"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Net sales decreased $11.2 million or 3% in the six months ended April 30, 2021 compared to the same period last year primarily due to a 15% decrease in average per-unit avocado sales prices, largely offset by a 14% increase in avocado volume sold. Average price decreases were driven by strong industry supply from Mexico, which was our primary country of origin for fruit sourced and sold in the six months ended April 30, 2021.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Gross profit</w:t>
      </w:r>
    </w:p>
    <w:p>
      <w:pPr>
        <w:spacing w:after="0" w:line="241"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Costs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203"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Variations in containerboard prices, which affect the cost of boxes and other packaging materials, and fuel prices can have an impact on our product cost and our profit margins. Variations in the production yields, and other input costs also affect our cost of sales.</w:t>
      </w:r>
    </w:p>
    <w:p>
      <w:pPr>
        <w:spacing w:after="0" w:line="203" w:lineRule="exact"/>
        <w:rPr>
          <w:sz w:val="20"/>
          <w:szCs w:val="20"/>
          <w:color w:val="auto"/>
        </w:rPr>
      </w:pPr>
    </w:p>
    <w:p>
      <w:pPr>
        <w:ind w:right="260" w:firstLine="648"/>
        <w:spacing w:after="0" w:line="251" w:lineRule="auto"/>
        <w:rPr>
          <w:sz w:val="20"/>
          <w:szCs w:val="20"/>
          <w:color w:val="auto"/>
        </w:rPr>
      </w:pPr>
      <w:r>
        <w:rPr>
          <w:rFonts w:ascii="Arial" w:cs="Arial" w:eastAsia="Arial" w:hAnsi="Arial"/>
          <w:sz w:val="16"/>
          <w:szCs w:val="16"/>
          <w:color w:val="auto"/>
        </w:rPr>
        <w:t>In general, changes in our volume of products sold can have a disproportionate effect on our gross profit. Within any particular year, a significant portion of our cost of products are fixed, particularly in our International Farming segment. Accordingly, higher volumes processed through packing and distribution facilities or produced on company-owned farms directly reduce the average cost per pound of fruit grown on company owned orchards, while lower volumes directly increase the average cost per pound of fruit grown on company owned orchards.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shd w:val="clear" w:color="auto" w:fill="232F84"/>
          </w:tcPr>
          <w:p>
            <w:pPr>
              <w:spacing w:after="0"/>
              <w:rPr>
                <w:sz w:val="15"/>
                <w:szCs w:val="15"/>
                <w:color w:val="auto"/>
              </w:rPr>
            </w:pPr>
          </w:p>
        </w:tc>
        <w:tc>
          <w:tcPr>
            <w:tcW w:w="540" w:type="dxa"/>
            <w:vAlign w:val="bottom"/>
            <w:shd w:val="clear" w:color="auto" w:fill="232F84"/>
          </w:tcPr>
          <w:p>
            <w:pPr>
              <w:spacing w:after="0"/>
              <w:rPr>
                <w:sz w:val="15"/>
                <w:szCs w:val="15"/>
                <w:color w:val="auto"/>
              </w:rPr>
            </w:pPr>
          </w:p>
        </w:tc>
        <w:tc>
          <w:tcPr>
            <w:tcW w:w="2100" w:type="dxa"/>
            <w:vAlign w:val="bottom"/>
            <w:gridSpan w:val="2"/>
            <w:shd w:val="clear" w:color="auto" w:fill="232F84"/>
          </w:tcPr>
          <w:p>
            <w:pPr>
              <w:jc w:val="center"/>
              <w:ind w:left="88"/>
              <w:spacing w:after="0"/>
              <w:rPr>
                <w:sz w:val="20"/>
                <w:szCs w:val="20"/>
                <w:color w:val="auto"/>
              </w:rPr>
            </w:pPr>
            <w:r>
              <w:rPr>
                <w:rFonts w:ascii="Arial" w:cs="Arial" w:eastAsia="Arial" w:hAnsi="Arial"/>
                <w:sz w:val="14"/>
                <w:szCs w:val="14"/>
                <w:b w:val="1"/>
                <w:bCs w:val="1"/>
                <w:color w:val="FFFFFF"/>
              </w:rPr>
              <w:t>Three Months Ended</w:t>
            </w:r>
          </w:p>
        </w:tc>
        <w:tc>
          <w:tcPr>
            <w:tcW w:w="78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c>
          <w:tcPr>
            <w:tcW w:w="202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Six Months Ended</w:t>
            </w:r>
          </w:p>
        </w:tc>
        <w:tc>
          <w:tcPr>
            <w:tcW w:w="760" w:type="dxa"/>
            <w:vAlign w:val="bottom"/>
            <w:shd w:val="clear" w:color="auto" w:fill="232F84"/>
          </w:tcPr>
          <w:p>
            <w:pPr>
              <w:spacing w:after="0"/>
              <w:rPr>
                <w:sz w:val="15"/>
                <w:szCs w:val="15"/>
                <w:color w:val="auto"/>
              </w:rPr>
            </w:pPr>
          </w:p>
        </w:tc>
      </w:tr>
      <w:tr>
        <w:trPr>
          <w:trHeight w:val="206"/>
        </w:trPr>
        <w:tc>
          <w:tcPr>
            <w:tcW w:w="4400" w:type="dxa"/>
            <w:vAlign w:val="bottom"/>
            <w:shd w:val="clear" w:color="auto" w:fill="232F84"/>
          </w:tcPr>
          <w:p>
            <w:pPr>
              <w:spacing w:after="0"/>
              <w:rPr>
                <w:sz w:val="17"/>
                <w:szCs w:val="17"/>
                <w:color w:val="auto"/>
              </w:rPr>
            </w:pPr>
          </w:p>
        </w:tc>
        <w:tc>
          <w:tcPr>
            <w:tcW w:w="540" w:type="dxa"/>
            <w:vAlign w:val="bottom"/>
            <w:shd w:val="clear" w:color="auto" w:fill="232F84"/>
          </w:tcPr>
          <w:p>
            <w:pPr>
              <w:spacing w:after="0"/>
              <w:rPr>
                <w:sz w:val="17"/>
                <w:szCs w:val="17"/>
                <w:color w:val="auto"/>
              </w:rPr>
            </w:pPr>
          </w:p>
        </w:tc>
        <w:tc>
          <w:tcPr>
            <w:tcW w:w="210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April 30,</w:t>
            </w:r>
          </w:p>
        </w:tc>
        <w:tc>
          <w:tcPr>
            <w:tcW w:w="780" w:type="dxa"/>
            <w:vAlign w:val="bottom"/>
            <w:shd w:val="clear" w:color="auto" w:fill="232F84"/>
          </w:tcPr>
          <w:p>
            <w:pPr>
              <w:spacing w:after="0"/>
              <w:rPr>
                <w:sz w:val="17"/>
                <w:szCs w:val="17"/>
                <w:color w:val="auto"/>
              </w:rPr>
            </w:pPr>
          </w:p>
        </w:tc>
        <w:tc>
          <w:tcPr>
            <w:tcW w:w="640" w:type="dxa"/>
            <w:vAlign w:val="bottom"/>
            <w:shd w:val="clear" w:color="auto" w:fill="232F84"/>
          </w:tcPr>
          <w:p>
            <w:pPr>
              <w:spacing w:after="0"/>
              <w:rPr>
                <w:sz w:val="17"/>
                <w:szCs w:val="17"/>
                <w:color w:val="auto"/>
              </w:rPr>
            </w:pPr>
          </w:p>
        </w:tc>
        <w:tc>
          <w:tcPr>
            <w:tcW w:w="202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April 30,</w:t>
            </w:r>
          </w:p>
        </w:tc>
        <w:tc>
          <w:tcPr>
            <w:tcW w:w="760" w:type="dxa"/>
            <w:vAlign w:val="bottom"/>
            <w:shd w:val="clear" w:color="auto" w:fill="232F84"/>
          </w:tcPr>
          <w:p>
            <w:pPr>
              <w:spacing w:after="0"/>
              <w:rPr>
                <w:sz w:val="17"/>
                <w:szCs w:val="17"/>
                <w:color w:val="auto"/>
              </w:rPr>
            </w:pPr>
          </w:p>
        </w:tc>
      </w:tr>
      <w:tr>
        <w:trPr>
          <w:trHeight w:val="226"/>
        </w:trPr>
        <w:tc>
          <w:tcPr>
            <w:tcW w:w="4400" w:type="dxa"/>
            <w:vAlign w:val="bottom"/>
            <w:shd w:val="clear" w:color="auto" w:fill="232F84"/>
          </w:tcPr>
          <w:p>
            <w:pPr>
              <w:spacing w:after="0"/>
              <w:rPr>
                <w:sz w:val="19"/>
                <w:szCs w:val="19"/>
                <w:color w:val="auto"/>
              </w:rPr>
            </w:pPr>
          </w:p>
        </w:tc>
        <w:tc>
          <w:tcPr>
            <w:tcW w:w="540" w:type="dxa"/>
            <w:vAlign w:val="bottom"/>
            <w:shd w:val="clear" w:color="auto" w:fill="232F84"/>
          </w:tcPr>
          <w:p>
            <w:pPr>
              <w:spacing w:after="0"/>
              <w:rPr>
                <w:sz w:val="19"/>
                <w:szCs w:val="19"/>
                <w:color w:val="auto"/>
              </w:rPr>
            </w:pPr>
          </w:p>
        </w:tc>
        <w:tc>
          <w:tcPr>
            <w:tcW w:w="112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80" w:type="dxa"/>
            <w:vAlign w:val="bottom"/>
            <w:shd w:val="clear" w:color="auto" w:fill="232F84"/>
          </w:tcPr>
          <w:p>
            <w:pPr>
              <w:spacing w:after="0"/>
              <w:rPr>
                <w:sz w:val="19"/>
                <w:szCs w:val="19"/>
                <w:color w:val="auto"/>
              </w:rPr>
            </w:pPr>
          </w:p>
        </w:tc>
        <w:tc>
          <w:tcPr>
            <w:tcW w:w="780" w:type="dxa"/>
            <w:vAlign w:val="bottom"/>
            <w:shd w:val="clear" w:color="auto" w:fill="232F84"/>
          </w:tcPr>
          <w:p>
            <w:pPr>
              <w:jc w:val="right"/>
              <w:ind w:right="128"/>
              <w:spacing w:after="0"/>
              <w:rPr>
                <w:sz w:val="20"/>
                <w:szCs w:val="20"/>
                <w:color w:val="auto"/>
              </w:rPr>
            </w:pPr>
            <w:r>
              <w:rPr>
                <w:rFonts w:ascii="Arial" w:cs="Arial" w:eastAsia="Arial" w:hAnsi="Arial"/>
                <w:sz w:val="14"/>
                <w:szCs w:val="14"/>
                <w:b w:val="1"/>
                <w:bCs w:val="1"/>
                <w:color w:val="FFFFFF"/>
              </w:rPr>
              <w:t>2020</w:t>
            </w:r>
          </w:p>
        </w:tc>
        <w:tc>
          <w:tcPr>
            <w:tcW w:w="640" w:type="dxa"/>
            <w:vAlign w:val="bottom"/>
            <w:shd w:val="clear" w:color="auto" w:fill="232F84"/>
          </w:tcPr>
          <w:p>
            <w:pPr>
              <w:spacing w:after="0"/>
              <w:rPr>
                <w:sz w:val="19"/>
                <w:szCs w:val="19"/>
                <w:color w:val="auto"/>
              </w:rPr>
            </w:pPr>
          </w:p>
        </w:tc>
        <w:tc>
          <w:tcPr>
            <w:tcW w:w="110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9"/>
                <w:szCs w:val="19"/>
                <w:color w:val="auto"/>
              </w:rPr>
            </w:pPr>
          </w:p>
        </w:tc>
        <w:tc>
          <w:tcPr>
            <w:tcW w:w="76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4400" w:type="dxa"/>
            <w:vAlign w:val="bottom"/>
            <w:shd w:val="clear" w:color="auto" w:fill="43C0B9"/>
          </w:tcPr>
          <w:p>
            <w:pPr>
              <w:ind w:left="20"/>
              <w:spacing w:after="0"/>
              <w:rPr>
                <w:sz w:val="20"/>
                <w:szCs w:val="20"/>
                <w:color w:val="auto"/>
              </w:rPr>
            </w:pPr>
            <w:r>
              <w:rPr>
                <w:rFonts w:ascii="Arial" w:cs="Arial" w:eastAsia="Arial" w:hAnsi="Arial"/>
                <w:sz w:val="14"/>
                <w:szCs w:val="14"/>
                <w:color w:val="auto"/>
              </w:rPr>
              <w:t>Gross profit (in millions)</w:t>
            </w:r>
          </w:p>
        </w:tc>
        <w:tc>
          <w:tcPr>
            <w:tcW w:w="540" w:type="dxa"/>
            <w:vAlign w:val="bottom"/>
            <w:shd w:val="clear" w:color="auto" w:fill="43C0B9"/>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ind w:left="620"/>
              <w:spacing w:after="0"/>
              <w:rPr>
                <w:sz w:val="20"/>
                <w:szCs w:val="20"/>
                <w:color w:val="auto"/>
              </w:rPr>
            </w:pPr>
            <w:r>
              <w:rPr>
                <w:rFonts w:ascii="Arial" w:cs="Arial" w:eastAsia="Arial" w:hAnsi="Arial"/>
                <w:sz w:val="14"/>
                <w:szCs w:val="14"/>
                <w:color w:val="auto"/>
              </w:rPr>
              <w:t>27.1</w:t>
            </w:r>
          </w:p>
        </w:tc>
        <w:tc>
          <w:tcPr>
            <w:tcW w:w="980" w:type="dxa"/>
            <w:vAlign w:val="bottom"/>
            <w:shd w:val="clear" w:color="auto" w:fill="43C0B9"/>
          </w:tcPr>
          <w:p>
            <w:pPr>
              <w:jc w:val="right"/>
              <w:ind w:right="768"/>
              <w:spacing w:after="0"/>
              <w:rPr>
                <w:sz w:val="20"/>
                <w:szCs w:val="20"/>
                <w:color w:val="auto"/>
              </w:rPr>
            </w:pPr>
            <w:r>
              <w:rPr>
                <w:rFonts w:ascii="Arial" w:cs="Arial" w:eastAsia="Arial" w:hAnsi="Arial"/>
                <w:sz w:val="14"/>
                <w:szCs w:val="14"/>
                <w:color w:val="auto"/>
              </w:rPr>
              <w:t>$</w:t>
            </w:r>
          </w:p>
        </w:tc>
        <w:tc>
          <w:tcPr>
            <w:tcW w:w="780" w:type="dxa"/>
            <w:vAlign w:val="bottom"/>
            <w:shd w:val="clear" w:color="auto" w:fill="43C0B9"/>
          </w:tcPr>
          <w:p>
            <w:pPr>
              <w:jc w:val="right"/>
              <w:ind w:right="188"/>
              <w:spacing w:after="0"/>
              <w:rPr>
                <w:sz w:val="20"/>
                <w:szCs w:val="20"/>
                <w:color w:val="auto"/>
              </w:rPr>
            </w:pPr>
            <w:r>
              <w:rPr>
                <w:rFonts w:ascii="Arial" w:cs="Arial" w:eastAsia="Arial" w:hAnsi="Arial"/>
                <w:sz w:val="14"/>
                <w:szCs w:val="14"/>
                <w:color w:val="auto"/>
              </w:rPr>
              <w:t>21.5</w:t>
            </w:r>
          </w:p>
        </w:tc>
        <w:tc>
          <w:tcPr>
            <w:tcW w:w="640" w:type="dxa"/>
            <w:vAlign w:val="bottom"/>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43C0B9"/>
          </w:tcPr>
          <w:p>
            <w:pPr>
              <w:ind w:left="600"/>
              <w:spacing w:after="0"/>
              <w:rPr>
                <w:sz w:val="20"/>
                <w:szCs w:val="20"/>
                <w:color w:val="auto"/>
              </w:rPr>
            </w:pPr>
            <w:r>
              <w:rPr>
                <w:rFonts w:ascii="Arial" w:cs="Arial" w:eastAsia="Arial" w:hAnsi="Arial"/>
                <w:sz w:val="14"/>
                <w:szCs w:val="14"/>
                <w:color w:val="auto"/>
              </w:rPr>
              <w:t>49.8</w:t>
            </w:r>
          </w:p>
        </w:tc>
        <w:tc>
          <w:tcPr>
            <w:tcW w:w="920" w:type="dxa"/>
            <w:vAlign w:val="bottom"/>
            <w:shd w:val="clear" w:color="auto" w:fill="43C0B9"/>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40.9</w:t>
            </w:r>
          </w:p>
        </w:tc>
      </w:tr>
      <w:tr>
        <w:trPr>
          <w:trHeight w:val="21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Gross profit as a percentage of sales</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11.5 %</w:t>
            </w: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9.7 %</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12.2 %</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9.8 %</w:t>
            </w:r>
          </w:p>
        </w:tc>
      </w:tr>
    </w:tbl>
    <w:p>
      <w:pPr>
        <w:spacing w:after="0" w:line="218"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Gross profit increased 26%, in the three months ended April 30, 2021 compared to the same period last year to $27.1 million, and gross profit percentage increased 180 basis points to 11.5% of revenue. The increase in gross profit is due primarily to higher avocado volume sold. The improvement in gross profit percentage is being driven by lower per-unit sales prices, as our per-unit margins represent a higher proportion of the sales value. Gross profit percentage will fluctuate based upon per-unit sales price levels.</w:t>
      </w:r>
    </w:p>
    <w:p>
      <w:pPr>
        <w:spacing w:after="0" w:line="202"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Gross profit increased 22% in the six months ended April 30, 2021 compared to the same period last year to $49.8 million, and gross profit percentage increased 240 basis points to 12.2% of revenue. The increase in gross profit is due primarily to higher avocado volume sold. Similar to above, the improvement in gross profit percentage is being driven by lower per-unit sales prices, as our per-unit margins represent a higher proportion of the sales value.</w:t>
      </w: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00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232F84"/>
        </w:rPr>
        <w:t>Selling, general and administrative expenses</w:t>
      </w:r>
    </w:p>
    <w:p>
      <w:pPr>
        <w:spacing w:after="0" w:line="241"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Selling, general and administrative expenses primarily include the costs associated with selling, advertising and promotional expenses, professional fees, general corporate overhead and other related administrative functions.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shd w:val="clear" w:color="auto" w:fill="232F84"/>
          </w:tcPr>
          <w:p>
            <w:pPr>
              <w:spacing w:after="0"/>
              <w:rPr>
                <w:sz w:val="15"/>
                <w:szCs w:val="15"/>
                <w:color w:val="auto"/>
              </w:rPr>
            </w:pPr>
          </w:p>
        </w:tc>
        <w:tc>
          <w:tcPr>
            <w:tcW w:w="48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Three Months Ended</w:t>
            </w:r>
          </w:p>
        </w:tc>
        <w:tc>
          <w:tcPr>
            <w:tcW w:w="730" w:type="dxa"/>
            <w:vAlign w:val="bottom"/>
            <w:shd w:val="clear" w:color="auto" w:fill="232F84"/>
          </w:tcPr>
          <w:p>
            <w:pPr>
              <w:spacing w:after="0"/>
              <w:rPr>
                <w:sz w:val="15"/>
                <w:szCs w:val="15"/>
                <w:color w:val="auto"/>
              </w:rPr>
            </w:pPr>
          </w:p>
        </w:tc>
        <w:tc>
          <w:tcPr>
            <w:tcW w:w="610" w:type="dxa"/>
            <w:vAlign w:val="bottom"/>
            <w:shd w:val="clear" w:color="auto" w:fill="232F84"/>
          </w:tcPr>
          <w:p>
            <w:pPr>
              <w:spacing w:after="0"/>
              <w:rPr>
                <w:sz w:val="15"/>
                <w:szCs w:val="15"/>
                <w:color w:val="auto"/>
              </w:rPr>
            </w:pPr>
          </w:p>
        </w:tc>
        <w:tc>
          <w:tcPr>
            <w:tcW w:w="198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Six Months Ended</w:t>
            </w:r>
          </w:p>
        </w:tc>
        <w:tc>
          <w:tcPr>
            <w:tcW w:w="720" w:type="dxa"/>
            <w:vAlign w:val="bottom"/>
            <w:shd w:val="clear" w:color="auto" w:fill="232F84"/>
          </w:tcPr>
          <w:p>
            <w:pPr>
              <w:spacing w:after="0"/>
              <w:rPr>
                <w:sz w:val="15"/>
                <w:szCs w:val="15"/>
                <w:color w:val="auto"/>
              </w:rPr>
            </w:pPr>
          </w:p>
        </w:tc>
      </w:tr>
      <w:tr>
        <w:trPr>
          <w:trHeight w:val="206"/>
        </w:trPr>
        <w:tc>
          <w:tcPr>
            <w:tcW w:w="4660" w:type="dxa"/>
            <w:vAlign w:val="bottom"/>
            <w:shd w:val="clear" w:color="auto" w:fill="232F84"/>
          </w:tcPr>
          <w:p>
            <w:pPr>
              <w:spacing w:after="0"/>
              <w:rPr>
                <w:sz w:val="17"/>
                <w:szCs w:val="17"/>
                <w:color w:val="auto"/>
              </w:rPr>
            </w:pPr>
          </w:p>
        </w:tc>
        <w:tc>
          <w:tcPr>
            <w:tcW w:w="48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April 30,</w:t>
            </w:r>
          </w:p>
        </w:tc>
        <w:tc>
          <w:tcPr>
            <w:tcW w:w="730" w:type="dxa"/>
            <w:vAlign w:val="bottom"/>
            <w:shd w:val="clear" w:color="auto" w:fill="232F84"/>
          </w:tcPr>
          <w:p>
            <w:pPr>
              <w:spacing w:after="0"/>
              <w:rPr>
                <w:sz w:val="17"/>
                <w:szCs w:val="17"/>
                <w:color w:val="auto"/>
              </w:rPr>
            </w:pPr>
          </w:p>
        </w:tc>
        <w:tc>
          <w:tcPr>
            <w:tcW w:w="610" w:type="dxa"/>
            <w:vAlign w:val="bottom"/>
            <w:shd w:val="clear" w:color="auto" w:fill="232F84"/>
          </w:tcPr>
          <w:p>
            <w:pPr>
              <w:spacing w:after="0"/>
              <w:rPr>
                <w:sz w:val="17"/>
                <w:szCs w:val="17"/>
                <w:color w:val="auto"/>
              </w:rPr>
            </w:pPr>
          </w:p>
        </w:tc>
        <w:tc>
          <w:tcPr>
            <w:tcW w:w="198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April 30,</w:t>
            </w:r>
          </w:p>
        </w:tc>
        <w:tc>
          <w:tcPr>
            <w:tcW w:w="720" w:type="dxa"/>
            <w:vAlign w:val="bottom"/>
            <w:shd w:val="clear" w:color="auto" w:fill="232F84"/>
          </w:tcPr>
          <w:p>
            <w:pPr>
              <w:spacing w:after="0"/>
              <w:rPr>
                <w:sz w:val="17"/>
                <w:szCs w:val="17"/>
                <w:color w:val="auto"/>
              </w:rPr>
            </w:pPr>
          </w:p>
        </w:tc>
      </w:tr>
      <w:tr>
        <w:trPr>
          <w:trHeight w:val="226"/>
        </w:trPr>
        <w:tc>
          <w:tcPr>
            <w:tcW w:w="46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80" w:type="dxa"/>
            <w:vAlign w:val="bottom"/>
            <w:shd w:val="clear" w:color="auto" w:fill="232F84"/>
          </w:tcPr>
          <w:p>
            <w:pPr>
              <w:spacing w:after="0"/>
              <w:rPr>
                <w:sz w:val="19"/>
                <w:szCs w:val="19"/>
                <w:color w:val="auto"/>
              </w:rPr>
            </w:pPr>
          </w:p>
        </w:tc>
        <w:tc>
          <w:tcPr>
            <w:tcW w:w="110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9"/>
                <w:szCs w:val="19"/>
                <w:color w:val="auto"/>
              </w:rPr>
            </w:pPr>
          </w:p>
        </w:tc>
        <w:tc>
          <w:tcPr>
            <w:tcW w:w="730" w:type="dxa"/>
            <w:vAlign w:val="bottom"/>
            <w:shd w:val="clear" w:color="auto" w:fill="232F84"/>
          </w:tcPr>
          <w:p>
            <w:pPr>
              <w:jc w:val="right"/>
              <w:ind w:right="118"/>
              <w:spacing w:after="0"/>
              <w:rPr>
                <w:sz w:val="20"/>
                <w:szCs w:val="20"/>
                <w:color w:val="auto"/>
              </w:rPr>
            </w:pPr>
            <w:r>
              <w:rPr>
                <w:rFonts w:ascii="Arial" w:cs="Arial" w:eastAsia="Arial" w:hAnsi="Arial"/>
                <w:sz w:val="14"/>
                <w:szCs w:val="14"/>
                <w:b w:val="1"/>
                <w:bCs w:val="1"/>
                <w:color w:val="FFFFFF"/>
              </w:rPr>
              <w:t>2020</w:t>
            </w:r>
          </w:p>
        </w:tc>
        <w:tc>
          <w:tcPr>
            <w:tcW w:w="610" w:type="dxa"/>
            <w:vAlign w:val="bottom"/>
            <w:shd w:val="clear" w:color="auto" w:fill="232F84"/>
          </w:tcPr>
          <w:p>
            <w:pPr>
              <w:spacing w:after="0"/>
              <w:rPr>
                <w:sz w:val="19"/>
                <w:szCs w:val="19"/>
                <w:color w:val="auto"/>
              </w:rPr>
            </w:pPr>
          </w:p>
        </w:tc>
        <w:tc>
          <w:tcPr>
            <w:tcW w:w="106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9"/>
                <w:szCs w:val="19"/>
                <w:color w:val="auto"/>
              </w:rPr>
            </w:pPr>
          </w:p>
        </w:tc>
        <w:tc>
          <w:tcPr>
            <w:tcW w:w="72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0"/>
        </w:trPr>
        <w:tc>
          <w:tcPr>
            <w:tcW w:w="46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480" w:type="dxa"/>
            <w:vAlign w:val="bottom"/>
            <w:tcBorders>
              <w:bottom w:val="single" w:sz="8" w:color="auto"/>
            </w:tcBorders>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16.3</w:t>
            </w:r>
          </w:p>
        </w:tc>
        <w:tc>
          <w:tcPr>
            <w:tcW w:w="96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730" w:type="dxa"/>
            <w:vAlign w:val="bottom"/>
            <w:tcBorders>
              <w:bottom w:val="single" w:sz="8" w:color="auto"/>
            </w:tcBorders>
            <w:shd w:val="clear" w:color="auto" w:fill="43C0B9"/>
          </w:tcPr>
          <w:p>
            <w:pPr>
              <w:jc w:val="right"/>
              <w:ind w:right="58"/>
              <w:spacing w:after="0"/>
              <w:rPr>
                <w:sz w:val="20"/>
                <w:szCs w:val="20"/>
                <w:color w:val="auto"/>
              </w:rPr>
            </w:pPr>
            <w:r>
              <w:rPr>
                <w:rFonts w:ascii="Arial" w:cs="Arial" w:eastAsia="Arial" w:hAnsi="Arial"/>
                <w:sz w:val="14"/>
                <w:szCs w:val="14"/>
                <w:color w:val="auto"/>
              </w:rPr>
              <w:t>11.1</w:t>
            </w:r>
          </w:p>
        </w:tc>
        <w:tc>
          <w:tcPr>
            <w:tcW w:w="610" w:type="dxa"/>
            <w:vAlign w:val="bottom"/>
            <w:tcBorders>
              <w:bottom w:val="single" w:sz="8" w:color="auto"/>
            </w:tcBorders>
            <w:shd w:val="clear" w:color="auto" w:fill="43C0B9"/>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30.9</w:t>
            </w:r>
          </w:p>
        </w:tc>
        <w:tc>
          <w:tcPr>
            <w:tcW w:w="920" w:type="dxa"/>
            <w:vAlign w:val="bottom"/>
            <w:tcBorders>
              <w:bottom w:val="single" w:sz="8" w:color="auto"/>
            </w:tcBorders>
            <w:shd w:val="clear" w:color="auto" w:fill="43C0B9"/>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25.9</w:t>
            </w:r>
          </w:p>
        </w:tc>
      </w:tr>
    </w:tbl>
    <w:p>
      <w:pPr>
        <w:spacing w:after="0" w:line="218"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Selling, general and administrative expenses increased $5.2 million or 47% in the three months ended April 30, 2021 compared to the same period last year due primarily to higher professional fees, higher employee-related costs and higher liability insurance premiums that are associated with being a public company. We also experienced an increase in rent expense in conjunction with our move to our new corporate headquarters in February 2021 and we recorded a legal settlement contingency of $0.8 million.</w:t>
      </w:r>
    </w:p>
    <w:p>
      <w:pPr>
        <w:spacing w:after="0" w:line="202" w:lineRule="exact"/>
        <w:rPr>
          <w:sz w:val="20"/>
          <w:szCs w:val="20"/>
          <w:color w:val="auto"/>
        </w:rPr>
      </w:pPr>
    </w:p>
    <w:p>
      <w:pPr>
        <w:ind w:right="100" w:firstLine="648"/>
        <w:spacing w:after="0" w:line="251" w:lineRule="auto"/>
        <w:rPr>
          <w:sz w:val="20"/>
          <w:szCs w:val="20"/>
          <w:color w:val="auto"/>
        </w:rPr>
      </w:pPr>
      <w:r>
        <w:rPr>
          <w:rFonts w:ascii="Arial" w:cs="Arial" w:eastAsia="Arial" w:hAnsi="Arial"/>
          <w:sz w:val="16"/>
          <w:szCs w:val="16"/>
          <w:color w:val="auto"/>
        </w:rPr>
        <w:t>Selling, general and administrative expenses increased $5.0 million or 19% in the six months ended April 30, 2021 compared to the same period last year due primarily to higher employee-related costs and liability insurance premiums associated with being a public company. We also experienced an increase in rent expense in conjunction with our move to our new corporate headquarters in February 2021 and we recorded a legal settlement contingency of $0.8 million.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Interest expense</w:t>
      </w:r>
    </w:p>
    <w:p>
      <w:pPr>
        <w:spacing w:after="0" w:line="241" w:lineRule="exact"/>
        <w:rPr>
          <w:sz w:val="20"/>
          <w:szCs w:val="20"/>
          <w:color w:val="auto"/>
        </w:rPr>
      </w:pPr>
    </w:p>
    <w:p>
      <w:pPr>
        <w:ind w:right="240" w:firstLine="648"/>
        <w:spacing w:after="0" w:line="260" w:lineRule="auto"/>
        <w:rPr>
          <w:sz w:val="20"/>
          <w:szCs w:val="20"/>
          <w:color w:val="auto"/>
        </w:rPr>
      </w:pPr>
      <w:r>
        <w:rPr>
          <w:rFonts w:ascii="Arial" w:cs="Arial" w:eastAsia="Arial" w:hAnsi="Arial"/>
          <w:sz w:val="16"/>
          <w:szCs w:val="16"/>
          <w:color w:val="auto"/>
        </w:rPr>
        <w:t>Interest expense consists primarily of interest on borrowings under working capital facilities that we maintain and interest on other long-term debt used to make capital and equity investments.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shd w:val="clear" w:color="auto" w:fill="232F84"/>
          </w:tcPr>
          <w:p>
            <w:pPr>
              <w:spacing w:after="0"/>
              <w:rPr>
                <w:sz w:val="15"/>
                <w:szCs w:val="15"/>
                <w:color w:val="auto"/>
              </w:rPr>
            </w:pPr>
          </w:p>
        </w:tc>
        <w:tc>
          <w:tcPr>
            <w:tcW w:w="48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Three Months Ended</w:t>
            </w:r>
          </w:p>
        </w:tc>
        <w:tc>
          <w:tcPr>
            <w:tcW w:w="730" w:type="dxa"/>
            <w:vAlign w:val="bottom"/>
            <w:shd w:val="clear" w:color="auto" w:fill="232F84"/>
          </w:tcPr>
          <w:p>
            <w:pPr>
              <w:spacing w:after="0"/>
              <w:rPr>
                <w:sz w:val="15"/>
                <w:szCs w:val="15"/>
                <w:color w:val="auto"/>
              </w:rPr>
            </w:pPr>
          </w:p>
        </w:tc>
        <w:tc>
          <w:tcPr>
            <w:tcW w:w="610" w:type="dxa"/>
            <w:vAlign w:val="bottom"/>
            <w:shd w:val="clear" w:color="auto" w:fill="232F84"/>
          </w:tcPr>
          <w:p>
            <w:pPr>
              <w:spacing w:after="0"/>
              <w:rPr>
                <w:sz w:val="15"/>
                <w:szCs w:val="15"/>
                <w:color w:val="auto"/>
              </w:rPr>
            </w:pPr>
          </w:p>
        </w:tc>
        <w:tc>
          <w:tcPr>
            <w:tcW w:w="198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Six Months Ended</w:t>
            </w:r>
          </w:p>
        </w:tc>
        <w:tc>
          <w:tcPr>
            <w:tcW w:w="720" w:type="dxa"/>
            <w:vAlign w:val="bottom"/>
            <w:shd w:val="clear" w:color="auto" w:fill="232F84"/>
          </w:tcPr>
          <w:p>
            <w:pPr>
              <w:spacing w:after="0"/>
              <w:rPr>
                <w:sz w:val="15"/>
                <w:szCs w:val="15"/>
                <w:color w:val="auto"/>
              </w:rPr>
            </w:pPr>
          </w:p>
        </w:tc>
      </w:tr>
      <w:tr>
        <w:trPr>
          <w:trHeight w:val="206"/>
        </w:trPr>
        <w:tc>
          <w:tcPr>
            <w:tcW w:w="4660" w:type="dxa"/>
            <w:vAlign w:val="bottom"/>
            <w:shd w:val="clear" w:color="auto" w:fill="232F84"/>
          </w:tcPr>
          <w:p>
            <w:pPr>
              <w:spacing w:after="0"/>
              <w:rPr>
                <w:sz w:val="17"/>
                <w:szCs w:val="17"/>
                <w:color w:val="auto"/>
              </w:rPr>
            </w:pPr>
          </w:p>
        </w:tc>
        <w:tc>
          <w:tcPr>
            <w:tcW w:w="48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April 30,</w:t>
            </w:r>
          </w:p>
        </w:tc>
        <w:tc>
          <w:tcPr>
            <w:tcW w:w="730" w:type="dxa"/>
            <w:vAlign w:val="bottom"/>
            <w:shd w:val="clear" w:color="auto" w:fill="232F84"/>
          </w:tcPr>
          <w:p>
            <w:pPr>
              <w:spacing w:after="0"/>
              <w:rPr>
                <w:sz w:val="17"/>
                <w:szCs w:val="17"/>
                <w:color w:val="auto"/>
              </w:rPr>
            </w:pPr>
          </w:p>
        </w:tc>
        <w:tc>
          <w:tcPr>
            <w:tcW w:w="610" w:type="dxa"/>
            <w:vAlign w:val="bottom"/>
            <w:shd w:val="clear" w:color="auto" w:fill="232F84"/>
          </w:tcPr>
          <w:p>
            <w:pPr>
              <w:spacing w:after="0"/>
              <w:rPr>
                <w:sz w:val="17"/>
                <w:szCs w:val="17"/>
                <w:color w:val="auto"/>
              </w:rPr>
            </w:pPr>
          </w:p>
        </w:tc>
        <w:tc>
          <w:tcPr>
            <w:tcW w:w="198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April 30,</w:t>
            </w:r>
          </w:p>
        </w:tc>
        <w:tc>
          <w:tcPr>
            <w:tcW w:w="720" w:type="dxa"/>
            <w:vAlign w:val="bottom"/>
            <w:shd w:val="clear" w:color="auto" w:fill="232F84"/>
          </w:tcPr>
          <w:p>
            <w:pPr>
              <w:spacing w:after="0"/>
              <w:rPr>
                <w:sz w:val="17"/>
                <w:szCs w:val="17"/>
                <w:color w:val="auto"/>
              </w:rPr>
            </w:pPr>
          </w:p>
        </w:tc>
      </w:tr>
      <w:tr>
        <w:trPr>
          <w:trHeight w:val="226"/>
        </w:trPr>
        <w:tc>
          <w:tcPr>
            <w:tcW w:w="46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80" w:type="dxa"/>
            <w:vAlign w:val="bottom"/>
            <w:shd w:val="clear" w:color="auto" w:fill="232F84"/>
          </w:tcPr>
          <w:p>
            <w:pPr>
              <w:spacing w:after="0"/>
              <w:rPr>
                <w:sz w:val="19"/>
                <w:szCs w:val="19"/>
                <w:color w:val="auto"/>
              </w:rPr>
            </w:pPr>
          </w:p>
        </w:tc>
        <w:tc>
          <w:tcPr>
            <w:tcW w:w="110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9"/>
                <w:szCs w:val="19"/>
                <w:color w:val="auto"/>
              </w:rPr>
            </w:pPr>
          </w:p>
        </w:tc>
        <w:tc>
          <w:tcPr>
            <w:tcW w:w="730" w:type="dxa"/>
            <w:vAlign w:val="bottom"/>
            <w:shd w:val="clear" w:color="auto" w:fill="232F84"/>
          </w:tcPr>
          <w:p>
            <w:pPr>
              <w:jc w:val="right"/>
              <w:ind w:right="118"/>
              <w:spacing w:after="0"/>
              <w:rPr>
                <w:sz w:val="20"/>
                <w:szCs w:val="20"/>
                <w:color w:val="auto"/>
              </w:rPr>
            </w:pPr>
            <w:r>
              <w:rPr>
                <w:rFonts w:ascii="Arial" w:cs="Arial" w:eastAsia="Arial" w:hAnsi="Arial"/>
                <w:sz w:val="14"/>
                <w:szCs w:val="14"/>
                <w:b w:val="1"/>
                <w:bCs w:val="1"/>
                <w:color w:val="FFFFFF"/>
              </w:rPr>
              <w:t>2020</w:t>
            </w:r>
          </w:p>
        </w:tc>
        <w:tc>
          <w:tcPr>
            <w:tcW w:w="610" w:type="dxa"/>
            <w:vAlign w:val="bottom"/>
            <w:shd w:val="clear" w:color="auto" w:fill="232F84"/>
          </w:tcPr>
          <w:p>
            <w:pPr>
              <w:spacing w:after="0"/>
              <w:rPr>
                <w:sz w:val="19"/>
                <w:szCs w:val="19"/>
                <w:color w:val="auto"/>
              </w:rPr>
            </w:pPr>
          </w:p>
        </w:tc>
        <w:tc>
          <w:tcPr>
            <w:tcW w:w="106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9"/>
                <w:szCs w:val="19"/>
                <w:color w:val="auto"/>
              </w:rPr>
            </w:pPr>
          </w:p>
        </w:tc>
        <w:tc>
          <w:tcPr>
            <w:tcW w:w="72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0"/>
        </w:trPr>
        <w:tc>
          <w:tcPr>
            <w:tcW w:w="46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Interest expense</w:t>
            </w:r>
          </w:p>
        </w:tc>
        <w:tc>
          <w:tcPr>
            <w:tcW w:w="480" w:type="dxa"/>
            <w:vAlign w:val="bottom"/>
            <w:tcBorders>
              <w:bottom w:val="single" w:sz="8" w:color="auto"/>
            </w:tcBorders>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0.8</w:t>
            </w:r>
          </w:p>
        </w:tc>
        <w:tc>
          <w:tcPr>
            <w:tcW w:w="96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730" w:type="dxa"/>
            <w:vAlign w:val="bottom"/>
            <w:tcBorders>
              <w:bottom w:val="single" w:sz="8" w:color="auto"/>
            </w:tcBorders>
            <w:shd w:val="clear" w:color="auto" w:fill="43C0B9"/>
          </w:tcPr>
          <w:p>
            <w:pPr>
              <w:jc w:val="right"/>
              <w:ind w:right="58"/>
              <w:spacing w:after="0"/>
              <w:rPr>
                <w:sz w:val="20"/>
                <w:szCs w:val="20"/>
                <w:color w:val="auto"/>
              </w:rPr>
            </w:pPr>
            <w:r>
              <w:rPr>
                <w:rFonts w:ascii="Arial" w:cs="Arial" w:eastAsia="Arial" w:hAnsi="Arial"/>
                <w:sz w:val="14"/>
                <w:szCs w:val="14"/>
                <w:color w:val="auto"/>
              </w:rPr>
              <w:t>2.3</w:t>
            </w:r>
          </w:p>
        </w:tc>
        <w:tc>
          <w:tcPr>
            <w:tcW w:w="610" w:type="dxa"/>
            <w:vAlign w:val="bottom"/>
            <w:tcBorders>
              <w:bottom w:val="single" w:sz="8" w:color="auto"/>
            </w:tcBorders>
            <w:shd w:val="clear" w:color="auto" w:fill="43C0B9"/>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1.7</w:t>
            </w:r>
          </w:p>
        </w:tc>
        <w:tc>
          <w:tcPr>
            <w:tcW w:w="920" w:type="dxa"/>
            <w:vAlign w:val="bottom"/>
            <w:tcBorders>
              <w:bottom w:val="single" w:sz="8" w:color="auto"/>
            </w:tcBorders>
            <w:shd w:val="clear" w:color="auto" w:fill="43C0B9"/>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4.4</w:t>
            </w:r>
          </w:p>
        </w:tc>
      </w:tr>
    </w:tbl>
    <w:p>
      <w:pPr>
        <w:spacing w:after="0" w:line="218" w:lineRule="exact"/>
        <w:rPr>
          <w:sz w:val="20"/>
          <w:szCs w:val="20"/>
          <w:color w:val="auto"/>
        </w:rPr>
      </w:pPr>
    </w:p>
    <w:p>
      <w:pPr>
        <w:ind w:right="180" w:firstLine="648"/>
        <w:spacing w:after="0" w:line="253" w:lineRule="auto"/>
        <w:rPr>
          <w:sz w:val="20"/>
          <w:szCs w:val="20"/>
          <w:color w:val="auto"/>
        </w:rPr>
      </w:pPr>
      <w:r>
        <w:rPr>
          <w:rFonts w:ascii="Arial" w:cs="Arial" w:eastAsia="Arial" w:hAnsi="Arial"/>
          <w:sz w:val="16"/>
          <w:szCs w:val="16"/>
          <w:color w:val="auto"/>
        </w:rPr>
        <w:t>Interest expense decreased $1.5 million or 65% in the three months ended April 30, 2021 compared to the same period last year due to a combination of lower interest rates and lower average debt balances. A substantial portion of our debt has variable interest rates that are based on LIBOR, which has declined significantly since fiscal year 2020. Average debt balances were lower reflecting principal payments of existing long-term debt.</w:t>
      </w:r>
    </w:p>
    <w:p>
      <w:pPr>
        <w:spacing w:after="0" w:line="201"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Interest expense decreased $2.7 million or 61% in the six months ended April 30, 2021 compared to the same period last year due to a combination of lower interest rates and lower average debt balances. A substantial portion of our debt has variable interest rates that are based on LIBOR, which has declined significantly since fiscal year 2020. Average debt balances were lower reflecting principal payments of existing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Equity method (loss) income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equity method investees include Henry Avocado (“HAC”), Mr. Avocado, Moruga, and Copaltas.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shd w:val="clear" w:color="auto" w:fill="232F84"/>
          </w:tcPr>
          <w:p>
            <w:pPr>
              <w:spacing w:after="0"/>
              <w:rPr>
                <w:sz w:val="15"/>
                <w:szCs w:val="15"/>
                <w:color w:val="auto"/>
              </w:rPr>
            </w:pPr>
          </w:p>
        </w:tc>
        <w:tc>
          <w:tcPr>
            <w:tcW w:w="480" w:type="dxa"/>
            <w:vAlign w:val="bottom"/>
            <w:shd w:val="clear" w:color="auto" w:fill="232F84"/>
          </w:tcPr>
          <w:p>
            <w:pPr>
              <w:spacing w:after="0"/>
              <w:rPr>
                <w:sz w:val="15"/>
                <w:szCs w:val="15"/>
                <w:color w:val="auto"/>
              </w:rPr>
            </w:pPr>
          </w:p>
        </w:tc>
        <w:tc>
          <w:tcPr>
            <w:tcW w:w="2060" w:type="dxa"/>
            <w:vAlign w:val="bottom"/>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Three Months Ended</w:t>
            </w:r>
          </w:p>
        </w:tc>
        <w:tc>
          <w:tcPr>
            <w:tcW w:w="730" w:type="dxa"/>
            <w:vAlign w:val="bottom"/>
            <w:shd w:val="clear" w:color="auto" w:fill="232F84"/>
          </w:tcPr>
          <w:p>
            <w:pPr>
              <w:spacing w:after="0"/>
              <w:rPr>
                <w:sz w:val="15"/>
                <w:szCs w:val="15"/>
                <w:color w:val="auto"/>
              </w:rPr>
            </w:pPr>
          </w:p>
        </w:tc>
        <w:tc>
          <w:tcPr>
            <w:tcW w:w="610" w:type="dxa"/>
            <w:vAlign w:val="bottom"/>
            <w:shd w:val="clear" w:color="auto" w:fill="232F84"/>
          </w:tcPr>
          <w:p>
            <w:pPr>
              <w:spacing w:after="0"/>
              <w:rPr>
                <w:sz w:val="15"/>
                <w:szCs w:val="15"/>
                <w:color w:val="auto"/>
              </w:rPr>
            </w:pPr>
          </w:p>
        </w:tc>
        <w:tc>
          <w:tcPr>
            <w:tcW w:w="198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Six Months Ended</w:t>
            </w:r>
          </w:p>
        </w:tc>
        <w:tc>
          <w:tcPr>
            <w:tcW w:w="720" w:type="dxa"/>
            <w:vAlign w:val="bottom"/>
            <w:shd w:val="clear" w:color="auto" w:fill="232F84"/>
          </w:tcPr>
          <w:p>
            <w:pPr>
              <w:spacing w:after="0"/>
              <w:rPr>
                <w:sz w:val="15"/>
                <w:szCs w:val="15"/>
                <w:color w:val="auto"/>
              </w:rPr>
            </w:pPr>
          </w:p>
        </w:tc>
      </w:tr>
      <w:tr>
        <w:trPr>
          <w:trHeight w:val="206"/>
        </w:trPr>
        <w:tc>
          <w:tcPr>
            <w:tcW w:w="4660" w:type="dxa"/>
            <w:vAlign w:val="bottom"/>
            <w:shd w:val="clear" w:color="auto" w:fill="232F84"/>
          </w:tcPr>
          <w:p>
            <w:pPr>
              <w:spacing w:after="0"/>
              <w:rPr>
                <w:sz w:val="17"/>
                <w:szCs w:val="17"/>
                <w:color w:val="auto"/>
              </w:rPr>
            </w:pPr>
          </w:p>
        </w:tc>
        <w:tc>
          <w:tcPr>
            <w:tcW w:w="480" w:type="dxa"/>
            <w:vAlign w:val="bottom"/>
            <w:shd w:val="clear" w:color="auto" w:fill="232F84"/>
          </w:tcPr>
          <w:p>
            <w:pPr>
              <w:spacing w:after="0"/>
              <w:rPr>
                <w:sz w:val="17"/>
                <w:szCs w:val="17"/>
                <w:color w:val="auto"/>
              </w:rPr>
            </w:pPr>
          </w:p>
        </w:tc>
        <w:tc>
          <w:tcPr>
            <w:tcW w:w="2060" w:type="dxa"/>
            <w:vAlign w:val="bottom"/>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April 30,</w:t>
            </w:r>
          </w:p>
        </w:tc>
        <w:tc>
          <w:tcPr>
            <w:tcW w:w="730" w:type="dxa"/>
            <w:vAlign w:val="bottom"/>
            <w:shd w:val="clear" w:color="auto" w:fill="232F84"/>
          </w:tcPr>
          <w:p>
            <w:pPr>
              <w:spacing w:after="0"/>
              <w:rPr>
                <w:sz w:val="17"/>
                <w:szCs w:val="17"/>
                <w:color w:val="auto"/>
              </w:rPr>
            </w:pPr>
          </w:p>
        </w:tc>
        <w:tc>
          <w:tcPr>
            <w:tcW w:w="610" w:type="dxa"/>
            <w:vAlign w:val="bottom"/>
            <w:shd w:val="clear" w:color="auto" w:fill="232F84"/>
          </w:tcPr>
          <w:p>
            <w:pPr>
              <w:spacing w:after="0"/>
              <w:rPr>
                <w:sz w:val="17"/>
                <w:szCs w:val="17"/>
                <w:color w:val="auto"/>
              </w:rPr>
            </w:pPr>
          </w:p>
        </w:tc>
        <w:tc>
          <w:tcPr>
            <w:tcW w:w="198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April 30,</w:t>
            </w:r>
          </w:p>
        </w:tc>
        <w:tc>
          <w:tcPr>
            <w:tcW w:w="720" w:type="dxa"/>
            <w:vAlign w:val="bottom"/>
            <w:shd w:val="clear" w:color="auto" w:fill="232F84"/>
          </w:tcPr>
          <w:p>
            <w:pPr>
              <w:spacing w:after="0"/>
              <w:rPr>
                <w:sz w:val="17"/>
                <w:szCs w:val="17"/>
                <w:color w:val="auto"/>
              </w:rPr>
            </w:pPr>
          </w:p>
        </w:tc>
      </w:tr>
      <w:tr>
        <w:trPr>
          <w:trHeight w:val="226"/>
        </w:trPr>
        <w:tc>
          <w:tcPr>
            <w:tcW w:w="46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80" w:type="dxa"/>
            <w:vAlign w:val="bottom"/>
            <w:shd w:val="clear" w:color="auto" w:fill="232F84"/>
          </w:tcPr>
          <w:p>
            <w:pPr>
              <w:spacing w:after="0"/>
              <w:rPr>
                <w:sz w:val="19"/>
                <w:szCs w:val="19"/>
                <w:color w:val="auto"/>
              </w:rPr>
            </w:pPr>
          </w:p>
        </w:tc>
        <w:tc>
          <w:tcPr>
            <w:tcW w:w="2060" w:type="dxa"/>
            <w:vAlign w:val="bottom"/>
            <w:shd w:val="clear" w:color="auto" w:fill="232F84"/>
          </w:tcPr>
          <w:p>
            <w:pPr>
              <w:jc w:val="right"/>
              <w:ind w:right="1028"/>
              <w:spacing w:after="0"/>
              <w:rPr>
                <w:sz w:val="20"/>
                <w:szCs w:val="20"/>
                <w:color w:val="auto"/>
              </w:rPr>
            </w:pPr>
            <w:r>
              <w:rPr>
                <w:rFonts w:ascii="Arial" w:cs="Arial" w:eastAsia="Arial" w:hAnsi="Arial"/>
                <w:sz w:val="14"/>
                <w:szCs w:val="14"/>
                <w:b w:val="1"/>
                <w:bCs w:val="1"/>
                <w:color w:val="FFFFFF"/>
              </w:rPr>
              <w:t>2021</w:t>
            </w:r>
          </w:p>
        </w:tc>
        <w:tc>
          <w:tcPr>
            <w:tcW w:w="730" w:type="dxa"/>
            <w:vAlign w:val="bottom"/>
            <w:shd w:val="clear" w:color="auto" w:fill="232F84"/>
          </w:tcPr>
          <w:p>
            <w:pPr>
              <w:jc w:val="right"/>
              <w:ind w:right="118"/>
              <w:spacing w:after="0"/>
              <w:rPr>
                <w:sz w:val="20"/>
                <w:szCs w:val="20"/>
                <w:color w:val="auto"/>
              </w:rPr>
            </w:pPr>
            <w:r>
              <w:rPr>
                <w:rFonts w:ascii="Arial" w:cs="Arial" w:eastAsia="Arial" w:hAnsi="Arial"/>
                <w:sz w:val="14"/>
                <w:szCs w:val="14"/>
                <w:b w:val="1"/>
                <w:bCs w:val="1"/>
                <w:color w:val="FFFFFF"/>
              </w:rPr>
              <w:t>2020</w:t>
            </w:r>
          </w:p>
        </w:tc>
        <w:tc>
          <w:tcPr>
            <w:tcW w:w="610" w:type="dxa"/>
            <w:vAlign w:val="bottom"/>
            <w:shd w:val="clear" w:color="auto" w:fill="232F84"/>
          </w:tcPr>
          <w:p>
            <w:pPr>
              <w:spacing w:after="0"/>
              <w:rPr>
                <w:sz w:val="19"/>
                <w:szCs w:val="19"/>
                <w:color w:val="auto"/>
              </w:rPr>
            </w:pPr>
          </w:p>
        </w:tc>
        <w:tc>
          <w:tcPr>
            <w:tcW w:w="106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9"/>
                <w:szCs w:val="19"/>
                <w:color w:val="auto"/>
              </w:rPr>
            </w:pPr>
          </w:p>
        </w:tc>
        <w:tc>
          <w:tcPr>
            <w:tcW w:w="72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4660" w:type="dxa"/>
            <w:vAlign w:val="bottom"/>
            <w:shd w:val="clear" w:color="auto" w:fill="43C0B9"/>
          </w:tcPr>
          <w:p>
            <w:pPr>
              <w:ind w:left="20"/>
              <w:spacing w:after="0"/>
              <w:rPr>
                <w:sz w:val="20"/>
                <w:szCs w:val="20"/>
                <w:color w:val="auto"/>
              </w:rPr>
            </w:pPr>
            <w:r>
              <w:rPr>
                <w:rFonts w:ascii="Arial" w:cs="Arial" w:eastAsia="Arial" w:hAnsi="Arial"/>
                <w:sz w:val="14"/>
                <w:szCs w:val="14"/>
                <w:color w:val="auto"/>
              </w:rPr>
              <w:t>Equity method (loss) income</w:t>
            </w:r>
          </w:p>
        </w:tc>
        <w:tc>
          <w:tcPr>
            <w:tcW w:w="480" w:type="dxa"/>
            <w:vAlign w:val="bottom"/>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206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(0.2)  $</w:t>
            </w:r>
          </w:p>
        </w:tc>
        <w:tc>
          <w:tcPr>
            <w:tcW w:w="730" w:type="dxa"/>
            <w:vAlign w:val="bottom"/>
            <w:shd w:val="clear" w:color="auto" w:fill="43C0B9"/>
          </w:tcPr>
          <w:p>
            <w:pPr>
              <w:jc w:val="right"/>
              <w:ind w:right="58"/>
              <w:spacing w:after="0"/>
              <w:rPr>
                <w:sz w:val="20"/>
                <w:szCs w:val="20"/>
                <w:color w:val="auto"/>
              </w:rPr>
            </w:pPr>
            <w:r>
              <w:rPr>
                <w:rFonts w:ascii="Arial" w:cs="Arial" w:eastAsia="Arial" w:hAnsi="Arial"/>
                <w:sz w:val="14"/>
                <w:szCs w:val="14"/>
                <w:color w:val="auto"/>
              </w:rPr>
              <w:t>0.4</w:t>
            </w:r>
          </w:p>
        </w:tc>
        <w:tc>
          <w:tcPr>
            <w:tcW w:w="610" w:type="dxa"/>
            <w:vAlign w:val="bottom"/>
            <w:shd w:val="clear" w:color="auto" w:fill="43C0B9"/>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2.1</w:t>
            </w:r>
          </w:p>
        </w:tc>
        <w:tc>
          <w:tcPr>
            <w:tcW w:w="920" w:type="dxa"/>
            <w:vAlign w:val="bottom"/>
            <w:shd w:val="clear" w:color="auto" w:fill="43C0B9"/>
          </w:tcPr>
          <w:p>
            <w:pPr>
              <w:jc w:val="right"/>
              <w:ind w:right="688"/>
              <w:spacing w:after="0"/>
              <w:rPr>
                <w:sz w:val="20"/>
                <w:szCs w:val="20"/>
                <w:color w:val="auto"/>
              </w:rPr>
            </w:pPr>
            <w:r>
              <w:rPr>
                <w:rFonts w:ascii="Arial" w:cs="Arial" w:eastAsia="Arial" w:hAnsi="Arial"/>
                <w:sz w:val="14"/>
                <w:szCs w:val="14"/>
                <w:color w:val="auto"/>
              </w:rPr>
              <w:t>$</w:t>
            </w: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Impairment on equity method investment</w:t>
            </w:r>
          </w:p>
        </w:tc>
        <w:tc>
          <w:tcPr>
            <w:tcW w:w="4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3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(21.2)</w:t>
            </w:r>
          </w:p>
        </w:tc>
        <w:tc>
          <w:tcPr>
            <w:tcW w:w="61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r>
    </w:tbl>
    <w:p>
      <w:pPr>
        <w:spacing w:after="0" w:line="218" w:lineRule="exact"/>
        <w:rPr>
          <w:sz w:val="20"/>
          <w:szCs w:val="20"/>
          <w:color w:val="auto"/>
        </w:rPr>
      </w:pPr>
    </w:p>
    <w:p>
      <w:pPr>
        <w:ind w:right="220" w:firstLine="648"/>
        <w:spacing w:after="0" w:line="250" w:lineRule="auto"/>
        <w:rPr>
          <w:sz w:val="20"/>
          <w:szCs w:val="20"/>
          <w:color w:val="auto"/>
        </w:rPr>
      </w:pPr>
      <w:r>
        <w:rPr>
          <w:rFonts w:ascii="Arial" w:cs="Arial" w:eastAsia="Arial" w:hAnsi="Arial"/>
          <w:sz w:val="16"/>
          <w:szCs w:val="16"/>
          <w:color w:val="auto"/>
        </w:rPr>
        <w:t>In the three months ended April 30, 2021 we incurred a loss from equity method investments, as opposed to income in the same period last year, resulting in a change of $0.6 million or 150%. The change was driven by lower earnings from our investment in Moruga, partially offset by higher earnings from our investment in HAC. Moruga’s earnings were negatively impacted by the timing of blueberry harvests in 2021. HAC’s earnings increased due to higher per-unit margins. The impact of COVID-19 related stay at-home orders that went into effect in March 2020 were more profound to HAC due to their heavier concentration of foodservice customers.</w:t>
      </w:r>
    </w:p>
    <w:p>
      <w:pPr>
        <w:spacing w:after="0" w:line="203"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Equity method income increased $1.7 million or 425% in the six months ended April 30, 2021 compared to the same period last year, driven by higher earnings from investments in Moruga and HAC. Moruga’s earnings increased due to improved yields and better pricing returns on the latter half of the 2020-21 blueberry harvest. HAC’s earnings increased due to higher per-unit margins.</w:t>
      </w:r>
    </w:p>
    <w:p>
      <w:pPr>
        <w:spacing w:after="0" w:line="228"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During the second quarter of fiscal 2020, industry wide production information regarding the 2019-2020 blueberry harvest in Peru became available, indicating that there is greater competition and expansion by competitors than what we were previously expecting. We believe that the increase in supply due to expansion will result in a reduction in pricing over the long-term. As a result of this factor, among others, we</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985" w:right="339" w:bottom="1440" w:gutter="0" w:footer="0" w:header="0"/>
          <w:type w:val="continuous"/>
        </w:sectPr>
      </w:pPr>
    </w:p>
    <w:bookmarkStart w:id="19" w:name="page20"/>
    <w:bookmarkEnd w:id="19"/>
    <w:p>
      <w:pPr>
        <w:ind w:right="80"/>
        <w:spacing w:after="0" w:line="250" w:lineRule="auto"/>
        <w:rPr>
          <w:sz w:val="20"/>
          <w:szCs w:val="20"/>
          <w:color w:val="auto"/>
        </w:rPr>
      </w:pPr>
      <w:r>
        <w:rPr>
          <w:rFonts w:ascii="Arial" w:cs="Arial" w:eastAsia="Arial" w:hAnsi="Arial"/>
          <w:sz w:val="16"/>
          <w:szCs w:val="16"/>
          <w:color w:val="auto"/>
        </w:rPr>
        <w:t>lowered our long-term revenue and profitability forecasts of Moruga during the second quarter of fiscal 2020, and concluded that the reduction in the forecasted revenues was an indicator of impairment. As a result, we tested our investment in Moruga for impairment and concluded that the estimated fair value of the investment in Moruga was less than the carrying value of the investment. Due to the change in long-term pricing and revenue expectations, we concluded that the impairment is other-than-temporary. We recorded an impairment charge of $21.2 million to reduce the carrying balance of the investment to its estimated fair value of $22.2 million during the second quarter of fiscal 2020.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Other (expense) income, net</w:t>
      </w:r>
    </w:p>
    <w:p>
      <w:pPr>
        <w:spacing w:after="0" w:line="241" w:lineRule="exact"/>
        <w:rPr>
          <w:sz w:val="20"/>
          <w:szCs w:val="20"/>
          <w:color w:val="auto"/>
        </w:rPr>
      </w:pPr>
    </w:p>
    <w:p>
      <w:pPr>
        <w:ind w:right="460" w:firstLine="648"/>
        <w:spacing w:after="0" w:line="260" w:lineRule="auto"/>
        <w:rPr>
          <w:sz w:val="20"/>
          <w:szCs w:val="20"/>
          <w:color w:val="auto"/>
        </w:rPr>
      </w:pPr>
      <w:r>
        <w:rPr>
          <w:rFonts w:ascii="Arial" w:cs="Arial" w:eastAsia="Arial" w:hAnsi="Arial"/>
          <w:sz w:val="16"/>
          <w:szCs w:val="16"/>
          <w:color w:val="auto"/>
        </w:rPr>
        <w:t>Other (expense) income, net consists of interest income, currency exchange gains or losses, interest rate derivative gains or losses and other miscellaneous income and expense items.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shd w:val="clear" w:color="auto" w:fill="232F84"/>
          </w:tcPr>
          <w:p>
            <w:pPr>
              <w:spacing w:after="0"/>
              <w:rPr>
                <w:sz w:val="15"/>
                <w:szCs w:val="15"/>
                <w:color w:val="auto"/>
              </w:rPr>
            </w:pPr>
          </w:p>
        </w:tc>
        <w:tc>
          <w:tcPr>
            <w:tcW w:w="480" w:type="dxa"/>
            <w:vAlign w:val="bottom"/>
            <w:shd w:val="clear" w:color="auto" w:fill="232F84"/>
          </w:tcPr>
          <w:p>
            <w:pPr>
              <w:spacing w:after="0"/>
              <w:rPr>
                <w:sz w:val="15"/>
                <w:szCs w:val="15"/>
                <w:color w:val="auto"/>
              </w:rPr>
            </w:pPr>
          </w:p>
        </w:tc>
        <w:tc>
          <w:tcPr>
            <w:tcW w:w="2060" w:type="dxa"/>
            <w:vAlign w:val="bottom"/>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Three Months Ended</w:t>
            </w:r>
          </w:p>
        </w:tc>
        <w:tc>
          <w:tcPr>
            <w:tcW w:w="730" w:type="dxa"/>
            <w:vAlign w:val="bottom"/>
            <w:shd w:val="clear" w:color="auto" w:fill="232F84"/>
          </w:tcPr>
          <w:p>
            <w:pPr>
              <w:spacing w:after="0"/>
              <w:rPr>
                <w:sz w:val="15"/>
                <w:szCs w:val="15"/>
                <w:color w:val="auto"/>
              </w:rPr>
            </w:pPr>
          </w:p>
        </w:tc>
        <w:tc>
          <w:tcPr>
            <w:tcW w:w="610" w:type="dxa"/>
            <w:vAlign w:val="bottom"/>
            <w:shd w:val="clear" w:color="auto" w:fill="232F84"/>
          </w:tcPr>
          <w:p>
            <w:pPr>
              <w:spacing w:after="0"/>
              <w:rPr>
                <w:sz w:val="15"/>
                <w:szCs w:val="15"/>
                <w:color w:val="auto"/>
              </w:rPr>
            </w:pPr>
          </w:p>
        </w:tc>
        <w:tc>
          <w:tcPr>
            <w:tcW w:w="1980" w:type="dxa"/>
            <w:vAlign w:val="bottom"/>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Six Months Ended</w:t>
            </w:r>
          </w:p>
        </w:tc>
        <w:tc>
          <w:tcPr>
            <w:tcW w:w="720" w:type="dxa"/>
            <w:vAlign w:val="bottom"/>
            <w:shd w:val="clear" w:color="auto" w:fill="232F84"/>
          </w:tcPr>
          <w:p>
            <w:pPr>
              <w:spacing w:after="0"/>
              <w:rPr>
                <w:sz w:val="15"/>
                <w:szCs w:val="15"/>
                <w:color w:val="auto"/>
              </w:rPr>
            </w:pPr>
          </w:p>
        </w:tc>
      </w:tr>
      <w:tr>
        <w:trPr>
          <w:trHeight w:val="206"/>
        </w:trPr>
        <w:tc>
          <w:tcPr>
            <w:tcW w:w="4660" w:type="dxa"/>
            <w:vAlign w:val="bottom"/>
            <w:shd w:val="clear" w:color="auto" w:fill="232F84"/>
          </w:tcPr>
          <w:p>
            <w:pPr>
              <w:spacing w:after="0"/>
              <w:rPr>
                <w:sz w:val="17"/>
                <w:szCs w:val="17"/>
                <w:color w:val="auto"/>
              </w:rPr>
            </w:pPr>
          </w:p>
        </w:tc>
        <w:tc>
          <w:tcPr>
            <w:tcW w:w="480" w:type="dxa"/>
            <w:vAlign w:val="bottom"/>
            <w:shd w:val="clear" w:color="auto" w:fill="232F84"/>
          </w:tcPr>
          <w:p>
            <w:pPr>
              <w:spacing w:after="0"/>
              <w:rPr>
                <w:sz w:val="17"/>
                <w:szCs w:val="17"/>
                <w:color w:val="auto"/>
              </w:rPr>
            </w:pPr>
          </w:p>
        </w:tc>
        <w:tc>
          <w:tcPr>
            <w:tcW w:w="2060" w:type="dxa"/>
            <w:vAlign w:val="bottom"/>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April 30,</w:t>
            </w:r>
          </w:p>
        </w:tc>
        <w:tc>
          <w:tcPr>
            <w:tcW w:w="730" w:type="dxa"/>
            <w:vAlign w:val="bottom"/>
            <w:shd w:val="clear" w:color="auto" w:fill="232F84"/>
          </w:tcPr>
          <w:p>
            <w:pPr>
              <w:spacing w:after="0"/>
              <w:rPr>
                <w:sz w:val="17"/>
                <w:szCs w:val="17"/>
                <w:color w:val="auto"/>
              </w:rPr>
            </w:pPr>
          </w:p>
        </w:tc>
        <w:tc>
          <w:tcPr>
            <w:tcW w:w="610" w:type="dxa"/>
            <w:vAlign w:val="bottom"/>
            <w:shd w:val="clear" w:color="auto" w:fill="232F84"/>
          </w:tcPr>
          <w:p>
            <w:pPr>
              <w:spacing w:after="0"/>
              <w:rPr>
                <w:sz w:val="17"/>
                <w:szCs w:val="17"/>
                <w:color w:val="auto"/>
              </w:rPr>
            </w:pPr>
          </w:p>
        </w:tc>
        <w:tc>
          <w:tcPr>
            <w:tcW w:w="1980" w:type="dxa"/>
            <w:vAlign w:val="bottom"/>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April 30,</w:t>
            </w:r>
          </w:p>
        </w:tc>
        <w:tc>
          <w:tcPr>
            <w:tcW w:w="720" w:type="dxa"/>
            <w:vAlign w:val="bottom"/>
            <w:shd w:val="clear" w:color="auto" w:fill="232F84"/>
          </w:tcPr>
          <w:p>
            <w:pPr>
              <w:spacing w:after="0"/>
              <w:rPr>
                <w:sz w:val="17"/>
                <w:szCs w:val="17"/>
                <w:color w:val="auto"/>
              </w:rPr>
            </w:pPr>
          </w:p>
        </w:tc>
      </w:tr>
      <w:tr>
        <w:trPr>
          <w:trHeight w:val="226"/>
        </w:trPr>
        <w:tc>
          <w:tcPr>
            <w:tcW w:w="46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80" w:type="dxa"/>
            <w:vAlign w:val="bottom"/>
            <w:shd w:val="clear" w:color="auto" w:fill="232F84"/>
          </w:tcPr>
          <w:p>
            <w:pPr>
              <w:spacing w:after="0"/>
              <w:rPr>
                <w:sz w:val="19"/>
                <w:szCs w:val="19"/>
                <w:color w:val="auto"/>
              </w:rPr>
            </w:pPr>
          </w:p>
        </w:tc>
        <w:tc>
          <w:tcPr>
            <w:tcW w:w="2060" w:type="dxa"/>
            <w:vAlign w:val="bottom"/>
            <w:shd w:val="clear" w:color="auto" w:fill="232F84"/>
          </w:tcPr>
          <w:p>
            <w:pPr>
              <w:jc w:val="right"/>
              <w:ind w:right="1028"/>
              <w:spacing w:after="0"/>
              <w:rPr>
                <w:sz w:val="20"/>
                <w:szCs w:val="20"/>
                <w:color w:val="auto"/>
              </w:rPr>
            </w:pPr>
            <w:r>
              <w:rPr>
                <w:rFonts w:ascii="Arial" w:cs="Arial" w:eastAsia="Arial" w:hAnsi="Arial"/>
                <w:sz w:val="14"/>
                <w:szCs w:val="14"/>
                <w:b w:val="1"/>
                <w:bCs w:val="1"/>
                <w:color w:val="FFFFFF"/>
              </w:rPr>
              <w:t>2021</w:t>
            </w:r>
          </w:p>
        </w:tc>
        <w:tc>
          <w:tcPr>
            <w:tcW w:w="730" w:type="dxa"/>
            <w:vAlign w:val="bottom"/>
            <w:shd w:val="clear" w:color="auto" w:fill="232F84"/>
          </w:tcPr>
          <w:p>
            <w:pPr>
              <w:jc w:val="right"/>
              <w:ind w:right="118"/>
              <w:spacing w:after="0"/>
              <w:rPr>
                <w:sz w:val="20"/>
                <w:szCs w:val="20"/>
                <w:color w:val="auto"/>
              </w:rPr>
            </w:pPr>
            <w:r>
              <w:rPr>
                <w:rFonts w:ascii="Arial" w:cs="Arial" w:eastAsia="Arial" w:hAnsi="Arial"/>
                <w:sz w:val="14"/>
                <w:szCs w:val="14"/>
                <w:b w:val="1"/>
                <w:bCs w:val="1"/>
                <w:color w:val="FFFFFF"/>
              </w:rPr>
              <w:t>2020</w:t>
            </w:r>
          </w:p>
        </w:tc>
        <w:tc>
          <w:tcPr>
            <w:tcW w:w="610" w:type="dxa"/>
            <w:vAlign w:val="bottom"/>
            <w:shd w:val="clear" w:color="auto" w:fill="232F84"/>
          </w:tcPr>
          <w:p>
            <w:pPr>
              <w:spacing w:after="0"/>
              <w:rPr>
                <w:sz w:val="19"/>
                <w:szCs w:val="19"/>
                <w:color w:val="auto"/>
              </w:rPr>
            </w:pPr>
          </w:p>
        </w:tc>
        <w:tc>
          <w:tcPr>
            <w:tcW w:w="1980" w:type="dxa"/>
            <w:vAlign w:val="bottom"/>
            <w:shd w:val="clear" w:color="auto" w:fill="232F84"/>
          </w:tcPr>
          <w:p>
            <w:pPr>
              <w:jc w:val="right"/>
              <w:ind w:right="988"/>
              <w:spacing w:after="0"/>
              <w:rPr>
                <w:sz w:val="20"/>
                <w:szCs w:val="20"/>
                <w:color w:val="auto"/>
              </w:rPr>
            </w:pPr>
            <w:r>
              <w:rPr>
                <w:rFonts w:ascii="Arial" w:cs="Arial" w:eastAsia="Arial" w:hAnsi="Arial"/>
                <w:sz w:val="14"/>
                <w:szCs w:val="14"/>
                <w:b w:val="1"/>
                <w:bCs w:val="1"/>
                <w:color w:val="FFFFFF"/>
              </w:rPr>
              <w:t>2021</w:t>
            </w:r>
          </w:p>
        </w:tc>
        <w:tc>
          <w:tcPr>
            <w:tcW w:w="72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0"/>
        </w:trPr>
        <w:tc>
          <w:tcPr>
            <w:tcW w:w="46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 (expense) income, net</w:t>
            </w:r>
          </w:p>
        </w:tc>
        <w:tc>
          <w:tcPr>
            <w:tcW w:w="480" w:type="dxa"/>
            <w:vAlign w:val="bottom"/>
            <w:tcBorders>
              <w:bottom w:val="single" w:sz="8" w:color="auto"/>
            </w:tcBorders>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(0.3)  $</w:t>
            </w:r>
          </w:p>
        </w:tc>
        <w:tc>
          <w:tcPr>
            <w:tcW w:w="730" w:type="dxa"/>
            <w:vAlign w:val="bottom"/>
            <w:tcBorders>
              <w:bottom w:val="single" w:sz="8" w:color="auto"/>
            </w:tcBorders>
            <w:shd w:val="clear" w:color="auto" w:fill="43C0B9"/>
          </w:tcPr>
          <w:p>
            <w:pPr>
              <w:jc w:val="right"/>
              <w:ind w:right="58"/>
              <w:spacing w:after="0"/>
              <w:rPr>
                <w:sz w:val="20"/>
                <w:szCs w:val="20"/>
                <w:color w:val="auto"/>
              </w:rPr>
            </w:pPr>
            <w:r>
              <w:rPr>
                <w:rFonts w:ascii="Arial" w:cs="Arial" w:eastAsia="Arial" w:hAnsi="Arial"/>
                <w:sz w:val="14"/>
                <w:szCs w:val="14"/>
                <w:color w:val="auto"/>
              </w:rPr>
              <w:t>1.4</w:t>
            </w:r>
          </w:p>
        </w:tc>
        <w:tc>
          <w:tcPr>
            <w:tcW w:w="610" w:type="dxa"/>
            <w:vAlign w:val="bottom"/>
            <w:tcBorders>
              <w:bottom w:val="single" w:sz="8" w:color="auto"/>
            </w:tcBorders>
            <w:shd w:val="clear" w:color="auto" w:fill="43C0B9"/>
          </w:tcPr>
          <w:p>
            <w:pPr>
              <w:jc w:val="right"/>
              <w:ind w:right="36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43C0B9"/>
          </w:tcPr>
          <w:p>
            <w:pPr>
              <w:jc w:val="right"/>
              <w:ind w:right="688"/>
              <w:spacing w:after="0"/>
              <w:rPr>
                <w:sz w:val="20"/>
                <w:szCs w:val="20"/>
                <w:color w:val="auto"/>
              </w:rPr>
            </w:pPr>
            <w:r>
              <w:rPr>
                <w:rFonts w:ascii="Arial" w:cs="Arial" w:eastAsia="Arial" w:hAnsi="Arial"/>
                <w:sz w:val="14"/>
                <w:szCs w:val="14"/>
                <w:color w:val="auto"/>
              </w:rPr>
              <w:t>(0.3)  $</w:t>
            </w: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1.0</w:t>
            </w:r>
          </w:p>
        </w:tc>
      </w:tr>
    </w:tbl>
    <w:p>
      <w:pPr>
        <w:spacing w:after="0" w:line="218" w:lineRule="exact"/>
        <w:rPr>
          <w:sz w:val="20"/>
          <w:szCs w:val="20"/>
          <w:color w:val="auto"/>
        </w:rPr>
      </w:pPr>
    </w:p>
    <w:p>
      <w:pPr>
        <w:ind w:right="100" w:firstLine="648"/>
        <w:spacing w:after="0" w:line="251" w:lineRule="auto"/>
        <w:rPr>
          <w:sz w:val="20"/>
          <w:szCs w:val="20"/>
          <w:color w:val="auto"/>
        </w:rPr>
      </w:pPr>
      <w:r>
        <w:rPr>
          <w:rFonts w:ascii="Arial" w:cs="Arial" w:eastAsia="Arial" w:hAnsi="Arial"/>
          <w:sz w:val="16"/>
          <w:szCs w:val="16"/>
          <w:color w:val="auto"/>
        </w:rPr>
        <w:t>Other (expense) income, net changed $1.7 million and $1.3 million in the three and six months ended April 30, 2021, respectively, compared to the same periods last year, both due to unfavorable changes in the Mexican peso exchange rate, partially offset by gains on our interest rate swaps driven by market movements in short-term interest rates. The significant weakening of the Mexican peso relative to the U.S. dollar and the substantial reduction in LIBOR correlated to the COVID-19 pandemic in 2020.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Provision for income taxes</w:t>
      </w:r>
    </w:p>
    <w:p>
      <w:pPr>
        <w:spacing w:after="0" w:line="241" w:lineRule="exact"/>
        <w:rPr>
          <w:sz w:val="20"/>
          <w:szCs w:val="20"/>
          <w:color w:val="auto"/>
        </w:rPr>
      </w:pPr>
    </w:p>
    <w:p>
      <w:pPr>
        <w:ind w:right="120" w:firstLine="648"/>
        <w:spacing w:after="0" w:line="250" w:lineRule="auto"/>
        <w:rPr>
          <w:sz w:val="20"/>
          <w:szCs w:val="20"/>
          <w:color w:val="auto"/>
        </w:rPr>
      </w:pPr>
      <w:r>
        <w:rPr>
          <w:rFonts w:ascii="Arial" w:cs="Arial" w:eastAsia="Arial" w:hAnsi="Arial"/>
          <w:sz w:val="16"/>
          <w:szCs w:val="16"/>
          <w:color w:val="auto"/>
        </w:rPr>
        <w:t>The provision for income taxes consists of the consolidation of tax provisions, computed on a separate entity basis, in each country in which we have operations. We use an estimated annual effective tax rate and adjust for discrete items that occur during the quarter. We recognize the effects of tax legislation in the period in which the law is enacted. Our deferred tax assets and liabilities are remeasured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203"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shd w:val="clear" w:color="auto" w:fill="232F84"/>
          </w:tcPr>
          <w:p>
            <w:pPr>
              <w:spacing w:after="0"/>
              <w:rPr>
                <w:sz w:val="15"/>
                <w:szCs w:val="15"/>
                <w:color w:val="auto"/>
              </w:rPr>
            </w:pPr>
          </w:p>
        </w:tc>
        <w:tc>
          <w:tcPr>
            <w:tcW w:w="520" w:type="dxa"/>
            <w:vAlign w:val="bottom"/>
            <w:shd w:val="clear" w:color="auto" w:fill="232F84"/>
          </w:tcPr>
          <w:p>
            <w:pPr>
              <w:spacing w:after="0"/>
              <w:rPr>
                <w:sz w:val="15"/>
                <w:szCs w:val="15"/>
                <w:color w:val="auto"/>
              </w:rPr>
            </w:pPr>
          </w:p>
        </w:tc>
        <w:tc>
          <w:tcPr>
            <w:tcW w:w="2080" w:type="dxa"/>
            <w:vAlign w:val="bottom"/>
            <w:gridSpan w:val="2"/>
            <w:shd w:val="clear" w:color="auto" w:fill="232F84"/>
          </w:tcPr>
          <w:p>
            <w:pPr>
              <w:jc w:val="center"/>
              <w:ind w:left="148"/>
              <w:spacing w:after="0"/>
              <w:rPr>
                <w:sz w:val="20"/>
                <w:szCs w:val="20"/>
                <w:color w:val="auto"/>
              </w:rPr>
            </w:pPr>
            <w:r>
              <w:rPr>
                <w:rFonts w:ascii="Arial" w:cs="Arial" w:eastAsia="Arial" w:hAnsi="Arial"/>
                <w:sz w:val="14"/>
                <w:szCs w:val="14"/>
                <w:b w:val="1"/>
                <w:bCs w:val="1"/>
                <w:color w:val="FFFFFF"/>
              </w:rPr>
              <w:t>Three Months Ended</w:t>
            </w:r>
          </w:p>
        </w:tc>
        <w:tc>
          <w:tcPr>
            <w:tcW w:w="810" w:type="dxa"/>
            <w:vAlign w:val="bottom"/>
            <w:shd w:val="clear" w:color="auto" w:fill="232F84"/>
          </w:tcPr>
          <w:p>
            <w:pPr>
              <w:spacing w:after="0"/>
              <w:rPr>
                <w:sz w:val="15"/>
                <w:szCs w:val="15"/>
                <w:color w:val="auto"/>
              </w:rPr>
            </w:pPr>
          </w:p>
        </w:tc>
        <w:tc>
          <w:tcPr>
            <w:tcW w:w="650" w:type="dxa"/>
            <w:vAlign w:val="bottom"/>
            <w:shd w:val="clear" w:color="auto" w:fill="232F84"/>
          </w:tcPr>
          <w:p>
            <w:pPr>
              <w:spacing w:after="0"/>
              <w:rPr>
                <w:sz w:val="15"/>
                <w:szCs w:val="15"/>
                <w:color w:val="auto"/>
              </w:rPr>
            </w:pPr>
          </w:p>
        </w:tc>
        <w:tc>
          <w:tcPr>
            <w:tcW w:w="2000" w:type="dxa"/>
            <w:vAlign w:val="bottom"/>
            <w:gridSpan w:val="2"/>
            <w:shd w:val="clear" w:color="auto" w:fill="232F84"/>
          </w:tcPr>
          <w:p>
            <w:pPr>
              <w:jc w:val="center"/>
              <w:ind w:left="128"/>
              <w:spacing w:after="0"/>
              <w:rPr>
                <w:sz w:val="20"/>
                <w:szCs w:val="20"/>
                <w:color w:val="auto"/>
              </w:rPr>
            </w:pPr>
            <w:r>
              <w:rPr>
                <w:rFonts w:ascii="Arial" w:cs="Arial" w:eastAsia="Arial" w:hAnsi="Arial"/>
                <w:sz w:val="14"/>
                <w:szCs w:val="14"/>
                <w:b w:val="1"/>
                <w:bCs w:val="1"/>
                <w:color w:val="FFFFFF"/>
              </w:rPr>
              <w:t>Six Months Ended</w:t>
            </w:r>
          </w:p>
        </w:tc>
        <w:tc>
          <w:tcPr>
            <w:tcW w:w="780" w:type="dxa"/>
            <w:vAlign w:val="bottom"/>
            <w:shd w:val="clear" w:color="auto" w:fill="232F84"/>
          </w:tcPr>
          <w:p>
            <w:pPr>
              <w:spacing w:after="0"/>
              <w:rPr>
                <w:sz w:val="15"/>
                <w:szCs w:val="15"/>
                <w:color w:val="auto"/>
              </w:rPr>
            </w:pPr>
          </w:p>
        </w:tc>
      </w:tr>
      <w:tr>
        <w:trPr>
          <w:trHeight w:val="206"/>
        </w:trPr>
        <w:tc>
          <w:tcPr>
            <w:tcW w:w="440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2080" w:type="dxa"/>
            <w:vAlign w:val="bottom"/>
            <w:gridSpan w:val="2"/>
            <w:shd w:val="clear" w:color="auto" w:fill="232F84"/>
          </w:tcPr>
          <w:p>
            <w:pPr>
              <w:jc w:val="center"/>
              <w:ind w:left="128"/>
              <w:spacing w:after="0"/>
              <w:rPr>
                <w:sz w:val="20"/>
                <w:szCs w:val="20"/>
                <w:color w:val="auto"/>
              </w:rPr>
            </w:pPr>
            <w:r>
              <w:rPr>
                <w:rFonts w:ascii="Arial" w:cs="Arial" w:eastAsia="Arial" w:hAnsi="Arial"/>
                <w:sz w:val="14"/>
                <w:szCs w:val="14"/>
                <w:b w:val="1"/>
                <w:bCs w:val="1"/>
                <w:color w:val="FFFFFF"/>
              </w:rPr>
              <w:t>April 30,</w:t>
            </w:r>
          </w:p>
        </w:tc>
        <w:tc>
          <w:tcPr>
            <w:tcW w:w="810" w:type="dxa"/>
            <w:vAlign w:val="bottom"/>
            <w:shd w:val="clear" w:color="auto" w:fill="232F84"/>
          </w:tcPr>
          <w:p>
            <w:pPr>
              <w:spacing w:after="0"/>
              <w:rPr>
                <w:sz w:val="17"/>
                <w:szCs w:val="17"/>
                <w:color w:val="auto"/>
              </w:rPr>
            </w:pPr>
          </w:p>
        </w:tc>
        <w:tc>
          <w:tcPr>
            <w:tcW w:w="65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center"/>
              <w:ind w:left="128"/>
              <w:spacing w:after="0"/>
              <w:rPr>
                <w:sz w:val="20"/>
                <w:szCs w:val="20"/>
                <w:color w:val="auto"/>
              </w:rPr>
            </w:pPr>
            <w:r>
              <w:rPr>
                <w:rFonts w:ascii="Arial" w:cs="Arial" w:eastAsia="Arial" w:hAnsi="Arial"/>
                <w:sz w:val="14"/>
                <w:szCs w:val="14"/>
                <w:b w:val="1"/>
                <w:bCs w:val="1"/>
                <w:color w:val="FFFFFF"/>
              </w:rPr>
              <w:t>April 30,</w:t>
            </w:r>
          </w:p>
        </w:tc>
        <w:tc>
          <w:tcPr>
            <w:tcW w:w="780" w:type="dxa"/>
            <w:vAlign w:val="bottom"/>
            <w:shd w:val="clear" w:color="auto" w:fill="232F84"/>
          </w:tcPr>
          <w:p>
            <w:pPr>
              <w:spacing w:after="0"/>
              <w:rPr>
                <w:sz w:val="17"/>
                <w:szCs w:val="17"/>
                <w:color w:val="auto"/>
              </w:rPr>
            </w:pPr>
          </w:p>
        </w:tc>
      </w:tr>
      <w:tr>
        <w:trPr>
          <w:trHeight w:val="226"/>
        </w:trPr>
        <w:tc>
          <w:tcPr>
            <w:tcW w:w="4400" w:type="dxa"/>
            <w:vAlign w:val="bottom"/>
            <w:shd w:val="clear" w:color="auto" w:fill="232F84"/>
          </w:tcPr>
          <w:p>
            <w:pPr>
              <w:spacing w:after="0"/>
              <w:rPr>
                <w:sz w:val="19"/>
                <w:szCs w:val="19"/>
                <w:color w:val="auto"/>
              </w:rPr>
            </w:pPr>
          </w:p>
        </w:tc>
        <w:tc>
          <w:tcPr>
            <w:tcW w:w="520" w:type="dxa"/>
            <w:vAlign w:val="bottom"/>
            <w:shd w:val="clear" w:color="auto" w:fill="232F84"/>
          </w:tcPr>
          <w:p>
            <w:pPr>
              <w:spacing w:after="0"/>
              <w:rPr>
                <w:sz w:val="19"/>
                <w:szCs w:val="19"/>
                <w:color w:val="auto"/>
              </w:rPr>
            </w:pPr>
          </w:p>
        </w:tc>
        <w:tc>
          <w:tcPr>
            <w:tcW w:w="1140" w:type="dxa"/>
            <w:vAlign w:val="bottom"/>
            <w:shd w:val="clear" w:color="auto" w:fill="232F84"/>
          </w:tcPr>
          <w:p>
            <w:pPr>
              <w:jc w:val="right"/>
              <w:ind w:right="10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810" w:type="dxa"/>
            <w:vAlign w:val="bottom"/>
            <w:shd w:val="clear" w:color="auto" w:fill="232F84"/>
          </w:tcPr>
          <w:p>
            <w:pPr>
              <w:jc w:val="right"/>
              <w:ind w:right="138"/>
              <w:spacing w:after="0"/>
              <w:rPr>
                <w:sz w:val="20"/>
                <w:szCs w:val="20"/>
                <w:color w:val="auto"/>
              </w:rPr>
            </w:pPr>
            <w:r>
              <w:rPr>
                <w:rFonts w:ascii="Arial" w:cs="Arial" w:eastAsia="Arial" w:hAnsi="Arial"/>
                <w:sz w:val="14"/>
                <w:szCs w:val="14"/>
                <w:b w:val="1"/>
                <w:bCs w:val="1"/>
                <w:color w:val="FFFFFF"/>
              </w:rPr>
              <w:t>2020</w:t>
            </w:r>
          </w:p>
        </w:tc>
        <w:tc>
          <w:tcPr>
            <w:tcW w:w="650" w:type="dxa"/>
            <w:vAlign w:val="bottom"/>
            <w:shd w:val="clear" w:color="auto" w:fill="232F84"/>
          </w:tcPr>
          <w:p>
            <w:pPr>
              <w:spacing w:after="0"/>
              <w:rPr>
                <w:sz w:val="19"/>
                <w:szCs w:val="19"/>
                <w:color w:val="auto"/>
              </w:rPr>
            </w:pPr>
          </w:p>
        </w:tc>
        <w:tc>
          <w:tcPr>
            <w:tcW w:w="110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00" w:type="dxa"/>
            <w:vAlign w:val="bottom"/>
            <w:shd w:val="clear" w:color="auto" w:fill="232F84"/>
          </w:tcPr>
          <w:p>
            <w:pPr>
              <w:spacing w:after="0"/>
              <w:rPr>
                <w:sz w:val="19"/>
                <w:szCs w:val="19"/>
                <w:color w:val="auto"/>
              </w:rPr>
            </w:pPr>
          </w:p>
        </w:tc>
        <w:tc>
          <w:tcPr>
            <w:tcW w:w="7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4400" w:type="dxa"/>
            <w:vAlign w:val="bottom"/>
            <w:shd w:val="clear" w:color="auto" w:fill="43C0B9"/>
          </w:tcPr>
          <w:p>
            <w:pPr>
              <w:ind w:left="20"/>
              <w:spacing w:after="0"/>
              <w:rPr>
                <w:sz w:val="20"/>
                <w:szCs w:val="20"/>
                <w:color w:val="auto"/>
              </w:rPr>
            </w:pPr>
            <w:r>
              <w:rPr>
                <w:rFonts w:ascii="Arial" w:cs="Arial" w:eastAsia="Arial" w:hAnsi="Arial"/>
                <w:sz w:val="14"/>
                <w:szCs w:val="14"/>
                <w:color w:val="auto"/>
              </w:rPr>
              <w:t>Provision for income taxes (in millions)</w:t>
            </w:r>
          </w:p>
        </w:tc>
        <w:tc>
          <w:tcPr>
            <w:tcW w:w="520" w:type="dxa"/>
            <w:vAlign w:val="bottom"/>
            <w:shd w:val="clear" w:color="auto" w:fill="43C0B9"/>
          </w:tcPr>
          <w:p>
            <w:pPr>
              <w:jc w:val="right"/>
              <w:ind w:right="3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43C0B9"/>
          </w:tcPr>
          <w:p>
            <w:pPr>
              <w:jc w:val="right"/>
              <w:ind w:right="168"/>
              <w:spacing w:after="0"/>
              <w:rPr>
                <w:sz w:val="20"/>
                <w:szCs w:val="20"/>
                <w:color w:val="auto"/>
              </w:rPr>
            </w:pPr>
            <w:r>
              <w:rPr>
                <w:rFonts w:ascii="Arial" w:cs="Arial" w:eastAsia="Arial" w:hAnsi="Arial"/>
                <w:sz w:val="14"/>
                <w:szCs w:val="14"/>
                <w:color w:val="auto"/>
              </w:rPr>
              <w:t>2.1</w:t>
            </w:r>
          </w:p>
        </w:tc>
        <w:tc>
          <w:tcPr>
            <w:tcW w:w="94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810" w:type="dxa"/>
            <w:vAlign w:val="bottom"/>
            <w:shd w:val="clear" w:color="auto" w:fill="43C0B9"/>
          </w:tcPr>
          <w:p>
            <w:pPr>
              <w:jc w:val="right"/>
              <w:ind w:right="198"/>
              <w:spacing w:after="0"/>
              <w:rPr>
                <w:sz w:val="20"/>
                <w:szCs w:val="20"/>
                <w:color w:val="auto"/>
              </w:rPr>
            </w:pPr>
            <w:r>
              <w:rPr>
                <w:rFonts w:ascii="Arial" w:cs="Arial" w:eastAsia="Arial" w:hAnsi="Arial"/>
                <w:sz w:val="14"/>
                <w:szCs w:val="14"/>
                <w:color w:val="auto"/>
              </w:rPr>
              <w:t>3.5</w:t>
            </w:r>
          </w:p>
        </w:tc>
        <w:tc>
          <w:tcPr>
            <w:tcW w:w="650" w:type="dxa"/>
            <w:vAlign w:val="bottom"/>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43C0B9"/>
          </w:tcPr>
          <w:p>
            <w:pPr>
              <w:jc w:val="right"/>
              <w:ind w:right="148"/>
              <w:spacing w:after="0"/>
              <w:rPr>
                <w:sz w:val="20"/>
                <w:szCs w:val="20"/>
                <w:color w:val="auto"/>
              </w:rPr>
            </w:pPr>
            <w:r>
              <w:rPr>
                <w:rFonts w:ascii="Arial" w:cs="Arial" w:eastAsia="Arial" w:hAnsi="Arial"/>
                <w:sz w:val="14"/>
                <w:szCs w:val="14"/>
                <w:color w:val="auto"/>
              </w:rPr>
              <w:t>9.4</w:t>
            </w:r>
          </w:p>
        </w:tc>
        <w:tc>
          <w:tcPr>
            <w:tcW w:w="900" w:type="dxa"/>
            <w:vAlign w:val="bottom"/>
            <w:shd w:val="clear" w:color="auto" w:fill="43C0B9"/>
          </w:tcPr>
          <w:p>
            <w:pPr>
              <w:jc w:val="right"/>
              <w:ind w:right="688"/>
              <w:spacing w:after="0"/>
              <w:rPr>
                <w:sz w:val="20"/>
                <w:szCs w:val="20"/>
                <w:color w:val="auto"/>
              </w:rPr>
            </w:pPr>
            <w:r>
              <w:rPr>
                <w:rFonts w:ascii="Arial" w:cs="Arial" w:eastAsia="Arial" w:hAnsi="Arial"/>
                <w:sz w:val="14"/>
                <w:szCs w:val="14"/>
                <w:color w:val="auto"/>
              </w:rPr>
              <w:t>$</w:t>
            </w:r>
          </w:p>
        </w:tc>
        <w:tc>
          <w:tcPr>
            <w:tcW w:w="78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4.2</w:t>
            </w:r>
          </w:p>
        </w:tc>
      </w:tr>
      <w:tr>
        <w:trPr>
          <w:trHeight w:val="21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Effective tax rate</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22.1 %</w:t>
            </w:r>
          </w:p>
        </w:tc>
        <w:tc>
          <w:tcPr>
            <w:tcW w:w="940" w:type="dxa"/>
            <w:vAlign w:val="bottom"/>
            <w:tcBorders>
              <w:bottom w:val="single" w:sz="8" w:color="auto"/>
            </w:tcBorders>
          </w:tcPr>
          <w:p>
            <w:pPr>
              <w:spacing w:after="0"/>
              <w:rPr>
                <w:sz w:val="18"/>
                <w:szCs w:val="18"/>
                <w:color w:val="auto"/>
              </w:rPr>
            </w:pPr>
          </w:p>
        </w:tc>
        <w:tc>
          <w:tcPr>
            <w:tcW w:w="81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(31.0)%</w:t>
            </w:r>
          </w:p>
        </w:tc>
        <w:tc>
          <w:tcPr>
            <w:tcW w:w="65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49.5 %</w:t>
            </w:r>
          </w:p>
        </w:tc>
        <w:tc>
          <w:tcPr>
            <w:tcW w:w="9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r>
    </w:tbl>
    <w:p>
      <w:pPr>
        <w:spacing w:after="0" w:line="218"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The provision for income taxes decreased $1.4 million or 40% in the three months ended April 30, 2021 compared to the same period last year, primarily due to discrete charges recognized in the prior year. Discrete tax expense of $2.3 million was recognized in the three months ended April 30, 2020 in relation to foreign exchange gains recorded in our Mexico subsidiary that are eliminated in consolidation. These expenses were partially offset by a discrete tax benefit of $1.2 million recorded, related to net operating loss carrybacks that can be applied to higher tax rate years as a result of enactment of the Coronavirus Aid, Relief and Economic Security in March 2020 (“CARES Act”). Our effective tax rate for the three months ended April 30, 2020 was negatively impacted by the discrete items previously mentioned, as well as by a $21.2 million impairment of Moruga, which was nondeductible for income tax purposes.</w:t>
      </w:r>
    </w:p>
    <w:p>
      <w:pPr>
        <w:spacing w:after="0" w:line="394"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The provision for income taxes increased $5.2 million or 124% in the six months ended April 30, 2021 compared to the same period last year, primarily due to the impact of discrete items in the current and prior year, as well as the impact of our higher pre-tax income. During the six months ended April 30, 2021, we recognized discrete deferred tax expense of $5.1 million related to the remeasurement of our deferred tax liabilities in Peru due to the enactment of tax rate changes for future years. During the six months ended April 30, 2020, we recognized $2.3 million in discrete charges in relation to foreign exchange gains recorded in our Mexico subsidiary that are eliminated in consolidation, partially offset by a discrete tax benefit of $1.2 million related to net operating loss carrybacks that can be applied to higher tax rate years as a result of enactment of the CARES Act. Our effective tax rate for the six months ended April 30, 2020 was negatively impacted by the discrete items previously mentioned, as well as by a $21.2 million impairment of Moruga, which was nondeductible for income tax purposes.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Segment Results of Operations</w:t>
      </w:r>
    </w:p>
    <w:p>
      <w:pPr>
        <w:spacing w:after="0" w:line="24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The CEO evaluates and monitors segment performance primarily through segment sales and segment adjusted earnings before interest expense, income taxes and depreciation and amortization (“adjusted EBITDA”). Management believes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ectPr>
          <w:pgSz w:w="11900" w:h="16838" w:orient="portrait"/>
          <w:cols w:equalWidth="0" w:num="1">
            <w:col w:w="11240"/>
          </w:cols>
          <w:pgMar w:left="320" w:top="78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789" w:right="339" w:bottom="1440" w:gutter="0" w:footer="0" w:header="0"/>
          <w:type w:val="continuous"/>
        </w:sectPr>
      </w:pPr>
    </w:p>
    <w:bookmarkStart w:id="20" w:name="page21"/>
    <w:bookmarkEnd w:id="20"/>
    <w:p>
      <w:pPr>
        <w:ind w:right="300" w:firstLine="648"/>
        <w:spacing w:after="0" w:line="253" w:lineRule="auto"/>
        <w:rPr>
          <w:sz w:val="20"/>
          <w:szCs w:val="20"/>
          <w:color w:val="auto"/>
        </w:rPr>
      </w:pPr>
      <w:r>
        <w:rPr>
          <w:rFonts w:ascii="Arial" w:cs="Arial" w:eastAsia="Arial" w:hAnsi="Arial"/>
          <w:sz w:val="16"/>
          <w:szCs w:val="16"/>
          <w:color w:val="auto"/>
        </w:rPr>
        <w:t>Adjusted EBITDA refers to net income (loss), before interest expense, income taxes, depreciation and amortization expense, stock-based compensation expense, other income (expense), and income (loss) from equity method investees, further adjusted by any special, non-recurring, or one-time items (impairment of equity method investment and legal settlement) that are distortive to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Net sales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shd w:val="clear" w:color="auto" w:fill="232F84"/>
          </w:tcPr>
          <w:p>
            <w:pPr>
              <w:spacing w:after="0"/>
              <w:rPr>
                <w:sz w:val="15"/>
                <w:szCs w:val="15"/>
                <w:color w:val="auto"/>
              </w:rPr>
            </w:pPr>
          </w:p>
        </w:tc>
        <w:tc>
          <w:tcPr>
            <w:tcW w:w="220" w:type="dxa"/>
            <w:vAlign w:val="bottom"/>
            <w:shd w:val="clear" w:color="auto" w:fill="232F84"/>
          </w:tcPr>
          <w:p>
            <w:pPr>
              <w:spacing w:after="0"/>
              <w:rPr>
                <w:sz w:val="15"/>
                <w:szCs w:val="15"/>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160" w:type="dxa"/>
            <w:vAlign w:val="bottom"/>
            <w:shd w:val="clear" w:color="auto" w:fill="232F84"/>
          </w:tcPr>
          <w:p>
            <w:pPr>
              <w:spacing w:after="0"/>
              <w:rPr>
                <w:sz w:val="15"/>
                <w:szCs w:val="15"/>
                <w:color w:val="auto"/>
              </w:rPr>
            </w:pPr>
          </w:p>
        </w:tc>
        <w:tc>
          <w:tcPr>
            <w:tcW w:w="10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International</w:t>
            </w:r>
          </w:p>
        </w:tc>
        <w:tc>
          <w:tcPr>
            <w:tcW w:w="240" w:type="dxa"/>
            <w:vAlign w:val="bottom"/>
            <w:shd w:val="clear" w:color="auto" w:fill="232F84"/>
          </w:tcPr>
          <w:p>
            <w:pPr>
              <w:spacing w:after="0"/>
              <w:rPr>
                <w:sz w:val="15"/>
                <w:szCs w:val="15"/>
                <w:color w:val="auto"/>
              </w:rPr>
            </w:pPr>
          </w:p>
        </w:tc>
        <w:tc>
          <w:tcPr>
            <w:tcW w:w="96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8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Marketing &amp;</w:t>
            </w:r>
          </w:p>
        </w:tc>
        <w:tc>
          <w:tcPr>
            <w:tcW w:w="120" w:type="dxa"/>
            <w:vAlign w:val="bottom"/>
            <w:shd w:val="clear" w:color="auto" w:fill="232F84"/>
          </w:tcPr>
          <w:p>
            <w:pPr>
              <w:spacing w:after="0"/>
              <w:rPr>
                <w:sz w:val="15"/>
                <w:szCs w:val="15"/>
                <w:color w:val="auto"/>
              </w:rPr>
            </w:pPr>
          </w:p>
        </w:tc>
        <w:tc>
          <w:tcPr>
            <w:tcW w:w="108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International</w:t>
            </w:r>
          </w:p>
        </w:tc>
        <w:tc>
          <w:tcPr>
            <w:tcW w:w="460" w:type="dxa"/>
            <w:vAlign w:val="bottom"/>
            <w:shd w:val="clear" w:color="auto" w:fill="232F84"/>
          </w:tcPr>
          <w:p>
            <w:pPr>
              <w:spacing w:after="0"/>
              <w:rPr>
                <w:sz w:val="15"/>
                <w:szCs w:val="15"/>
                <w:color w:val="auto"/>
              </w:rPr>
            </w:pPr>
          </w:p>
        </w:tc>
        <w:tc>
          <w:tcPr>
            <w:tcW w:w="720" w:type="dxa"/>
            <w:vAlign w:val="bottom"/>
            <w:shd w:val="clear" w:color="auto" w:fill="232F84"/>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232F84"/>
          </w:tcPr>
          <w:p>
            <w:pPr>
              <w:spacing w:after="0"/>
              <w:rPr>
                <w:sz w:val="17"/>
                <w:szCs w:val="17"/>
                <w:color w:val="auto"/>
              </w:rPr>
            </w:pPr>
          </w:p>
        </w:tc>
        <w:tc>
          <w:tcPr>
            <w:tcW w:w="220" w:type="dxa"/>
            <w:vAlign w:val="bottom"/>
            <w:shd w:val="clear" w:color="auto" w:fill="232F84"/>
          </w:tcPr>
          <w:p>
            <w:pPr>
              <w:spacing w:after="0"/>
              <w:rPr>
                <w:sz w:val="17"/>
                <w:szCs w:val="17"/>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160" w:type="dxa"/>
            <w:vAlign w:val="bottom"/>
            <w:shd w:val="clear" w:color="auto" w:fill="232F84"/>
          </w:tcPr>
          <w:p>
            <w:pPr>
              <w:spacing w:after="0"/>
              <w:rPr>
                <w:sz w:val="17"/>
                <w:szCs w:val="17"/>
                <w:color w:val="auto"/>
              </w:rPr>
            </w:pPr>
          </w:p>
        </w:tc>
        <w:tc>
          <w:tcPr>
            <w:tcW w:w="10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240" w:type="dxa"/>
            <w:vAlign w:val="bottom"/>
            <w:shd w:val="clear" w:color="auto" w:fill="232F84"/>
          </w:tcPr>
          <w:p>
            <w:pPr>
              <w:spacing w:after="0"/>
              <w:rPr>
                <w:sz w:val="17"/>
                <w:szCs w:val="17"/>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Total</w:t>
            </w:r>
          </w:p>
        </w:tc>
        <w:tc>
          <w:tcPr>
            <w:tcW w:w="580" w:type="dxa"/>
            <w:vAlign w:val="bottom"/>
            <w:shd w:val="clear" w:color="auto" w:fill="232F84"/>
          </w:tcPr>
          <w:p>
            <w:pPr>
              <w:spacing w:after="0"/>
              <w:rPr>
                <w:sz w:val="17"/>
                <w:szCs w:val="17"/>
                <w:color w:val="auto"/>
              </w:rPr>
            </w:pPr>
          </w:p>
        </w:tc>
        <w:tc>
          <w:tcPr>
            <w:tcW w:w="860" w:type="dxa"/>
            <w:vAlign w:val="bottom"/>
            <w:shd w:val="clear" w:color="auto" w:fill="232F84"/>
          </w:tcPr>
          <w:p>
            <w:pPr>
              <w:ind w:left="40"/>
              <w:spacing w:after="0"/>
              <w:rPr>
                <w:sz w:val="20"/>
                <w:szCs w:val="20"/>
                <w:color w:val="auto"/>
              </w:rPr>
            </w:pPr>
            <w:r>
              <w:rPr>
                <w:rFonts w:ascii="Arial" w:cs="Arial" w:eastAsia="Arial" w:hAnsi="Arial"/>
                <w:sz w:val="14"/>
                <w:szCs w:val="14"/>
                <w:b w:val="1"/>
                <w:bCs w:val="1"/>
                <w:color w:val="FFFFFF"/>
              </w:rPr>
              <w:t>Distribution</w:t>
            </w:r>
          </w:p>
        </w:tc>
        <w:tc>
          <w:tcPr>
            <w:tcW w:w="120" w:type="dxa"/>
            <w:vAlign w:val="bottom"/>
            <w:shd w:val="clear" w:color="auto" w:fill="232F84"/>
          </w:tcPr>
          <w:p>
            <w:pPr>
              <w:spacing w:after="0"/>
              <w:rPr>
                <w:sz w:val="17"/>
                <w:szCs w:val="17"/>
                <w:color w:val="auto"/>
              </w:rPr>
            </w:pPr>
          </w:p>
        </w:tc>
        <w:tc>
          <w:tcPr>
            <w:tcW w:w="1080" w:type="dxa"/>
            <w:vAlign w:val="bottom"/>
            <w:gridSpan w:val="2"/>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460" w:type="dxa"/>
            <w:vAlign w:val="bottom"/>
            <w:shd w:val="clear" w:color="auto" w:fill="232F84"/>
          </w:tcPr>
          <w:p>
            <w:pPr>
              <w:spacing w:after="0"/>
              <w:rPr>
                <w:sz w:val="17"/>
                <w:szCs w:val="17"/>
                <w:color w:val="auto"/>
              </w:rPr>
            </w:pPr>
          </w:p>
        </w:tc>
        <w:tc>
          <w:tcPr>
            <w:tcW w:w="7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4"/>
        </w:trPr>
        <w:tc>
          <w:tcPr>
            <w:tcW w:w="3840" w:type="dxa"/>
            <w:vAlign w:val="bottom"/>
            <w:shd w:val="clear" w:color="auto" w:fill="232F84"/>
          </w:tcPr>
          <w:p>
            <w:pPr>
              <w:spacing w:after="0"/>
              <w:rPr>
                <w:sz w:val="18"/>
                <w:szCs w:val="18"/>
                <w:color w:val="auto"/>
              </w:rPr>
            </w:pPr>
          </w:p>
        </w:tc>
        <w:tc>
          <w:tcPr>
            <w:tcW w:w="220" w:type="dxa"/>
            <w:vAlign w:val="bottom"/>
            <w:shd w:val="clear" w:color="auto" w:fill="232F84"/>
          </w:tcPr>
          <w:p>
            <w:pPr>
              <w:spacing w:after="0"/>
              <w:rPr>
                <w:sz w:val="18"/>
                <w:szCs w:val="18"/>
                <w:color w:val="auto"/>
              </w:rPr>
            </w:pPr>
          </w:p>
        </w:tc>
        <w:tc>
          <w:tcPr>
            <w:tcW w:w="980" w:type="dxa"/>
            <w:vAlign w:val="bottom"/>
            <w:shd w:val="clear" w:color="auto" w:fill="232F84"/>
          </w:tcPr>
          <w:p>
            <w:pPr>
              <w:spacing w:after="0"/>
              <w:rPr>
                <w:sz w:val="18"/>
                <w:szCs w:val="18"/>
                <w:color w:val="auto"/>
              </w:rPr>
            </w:pPr>
          </w:p>
        </w:tc>
        <w:tc>
          <w:tcPr>
            <w:tcW w:w="160" w:type="dxa"/>
            <w:vAlign w:val="bottom"/>
            <w:shd w:val="clear" w:color="auto" w:fill="232F84"/>
          </w:tcPr>
          <w:p>
            <w:pPr>
              <w:spacing w:after="0"/>
              <w:rPr>
                <w:sz w:val="18"/>
                <w:szCs w:val="18"/>
                <w:color w:val="auto"/>
              </w:rPr>
            </w:pPr>
          </w:p>
        </w:tc>
        <w:tc>
          <w:tcPr>
            <w:tcW w:w="1020" w:type="dxa"/>
            <w:vAlign w:val="bottom"/>
            <w:shd w:val="clear" w:color="auto" w:fill="232F84"/>
          </w:tcPr>
          <w:p>
            <w:pPr>
              <w:spacing w:after="0"/>
              <w:rPr>
                <w:sz w:val="18"/>
                <w:szCs w:val="18"/>
                <w:color w:val="auto"/>
              </w:rPr>
            </w:pPr>
          </w:p>
        </w:tc>
        <w:tc>
          <w:tcPr>
            <w:tcW w:w="240" w:type="dxa"/>
            <w:vAlign w:val="bottom"/>
            <w:shd w:val="clear" w:color="auto" w:fill="232F84"/>
          </w:tcPr>
          <w:p>
            <w:pPr>
              <w:spacing w:after="0"/>
              <w:rPr>
                <w:sz w:val="18"/>
                <w:szCs w:val="18"/>
                <w:color w:val="auto"/>
              </w:rPr>
            </w:pPr>
          </w:p>
        </w:tc>
        <w:tc>
          <w:tcPr>
            <w:tcW w:w="2400" w:type="dxa"/>
            <w:vAlign w:val="bottom"/>
            <w:gridSpan w:val="3"/>
            <w:shd w:val="clear" w:color="auto" w:fill="232F84"/>
          </w:tcPr>
          <w:p>
            <w:pPr>
              <w:jc w:val="right"/>
              <w:ind w:right="228"/>
              <w:spacing w:after="0"/>
              <w:rPr>
                <w:sz w:val="20"/>
                <w:szCs w:val="20"/>
                <w:color w:val="auto"/>
              </w:rPr>
            </w:pPr>
            <w:r>
              <w:rPr>
                <w:rFonts w:ascii="Arial" w:cs="Arial" w:eastAsia="Arial" w:hAnsi="Arial"/>
                <w:sz w:val="14"/>
                <w:szCs w:val="14"/>
                <w:b w:val="1"/>
                <w:bCs w:val="1"/>
                <w:color w:val="FFFFFF"/>
              </w:rPr>
              <w:t>Three Months Ended April 30,</w:t>
            </w:r>
          </w:p>
        </w:tc>
        <w:tc>
          <w:tcPr>
            <w:tcW w:w="120" w:type="dxa"/>
            <w:vAlign w:val="bottom"/>
            <w:shd w:val="clear" w:color="auto" w:fill="232F84"/>
          </w:tcPr>
          <w:p>
            <w:pPr>
              <w:spacing w:after="0"/>
              <w:rPr>
                <w:sz w:val="18"/>
                <w:szCs w:val="18"/>
                <w:color w:val="auto"/>
              </w:rPr>
            </w:pPr>
          </w:p>
        </w:tc>
        <w:tc>
          <w:tcPr>
            <w:tcW w:w="660" w:type="dxa"/>
            <w:vAlign w:val="bottom"/>
            <w:shd w:val="clear" w:color="auto" w:fill="232F84"/>
          </w:tcPr>
          <w:p>
            <w:pPr>
              <w:spacing w:after="0"/>
              <w:rPr>
                <w:sz w:val="18"/>
                <w:szCs w:val="18"/>
                <w:color w:val="auto"/>
              </w:rPr>
            </w:pPr>
          </w:p>
        </w:tc>
        <w:tc>
          <w:tcPr>
            <w:tcW w:w="420" w:type="dxa"/>
            <w:vAlign w:val="bottom"/>
            <w:shd w:val="clear" w:color="auto" w:fill="232F84"/>
          </w:tcPr>
          <w:p>
            <w:pPr>
              <w:spacing w:after="0"/>
              <w:rPr>
                <w:sz w:val="18"/>
                <w:szCs w:val="18"/>
                <w:color w:val="auto"/>
              </w:rPr>
            </w:pPr>
          </w:p>
        </w:tc>
        <w:tc>
          <w:tcPr>
            <w:tcW w:w="460" w:type="dxa"/>
            <w:vAlign w:val="bottom"/>
            <w:shd w:val="clear" w:color="auto" w:fill="232F84"/>
          </w:tcPr>
          <w:p>
            <w:pPr>
              <w:spacing w:after="0"/>
              <w:rPr>
                <w:sz w:val="18"/>
                <w:szCs w:val="18"/>
                <w:color w:val="auto"/>
              </w:rPr>
            </w:pPr>
          </w:p>
        </w:tc>
        <w:tc>
          <w:tcPr>
            <w:tcW w:w="720" w:type="dxa"/>
            <w:vAlign w:val="bottom"/>
            <w:shd w:val="clear" w:color="auto" w:fill="232F84"/>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840" w:type="dxa"/>
            <w:vAlign w:val="bottom"/>
            <w:vMerge w:val="restart"/>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220" w:type="dxa"/>
            <w:vAlign w:val="bottom"/>
            <w:shd w:val="clear" w:color="auto" w:fill="232F84"/>
          </w:tcPr>
          <w:p>
            <w:pPr>
              <w:spacing w:after="0"/>
              <w:rPr>
                <w:sz w:val="2"/>
                <w:szCs w:val="2"/>
                <w:color w:val="auto"/>
              </w:rPr>
            </w:pPr>
          </w:p>
        </w:tc>
        <w:tc>
          <w:tcPr>
            <w:tcW w:w="980" w:type="dxa"/>
            <w:vAlign w:val="bottom"/>
            <w:shd w:val="clear" w:color="auto" w:fill="232F84"/>
          </w:tcPr>
          <w:p>
            <w:pPr>
              <w:spacing w:after="0"/>
              <w:rPr>
                <w:sz w:val="2"/>
                <w:szCs w:val="2"/>
                <w:color w:val="auto"/>
              </w:rPr>
            </w:pPr>
          </w:p>
        </w:tc>
        <w:tc>
          <w:tcPr>
            <w:tcW w:w="160" w:type="dxa"/>
            <w:vAlign w:val="bottom"/>
            <w:shd w:val="clear" w:color="auto" w:fill="232F84"/>
          </w:tcPr>
          <w:p>
            <w:pPr>
              <w:spacing w:after="0"/>
              <w:rPr>
                <w:sz w:val="2"/>
                <w:szCs w:val="2"/>
                <w:color w:val="auto"/>
              </w:rPr>
            </w:pPr>
          </w:p>
        </w:tc>
        <w:tc>
          <w:tcPr>
            <w:tcW w:w="1020" w:type="dxa"/>
            <w:vAlign w:val="bottom"/>
            <w:shd w:val="clear" w:color="auto" w:fill="232F84"/>
          </w:tcPr>
          <w:p>
            <w:pPr>
              <w:spacing w:after="0"/>
              <w:rPr>
                <w:sz w:val="2"/>
                <w:szCs w:val="2"/>
                <w:color w:val="auto"/>
              </w:rPr>
            </w:pPr>
          </w:p>
        </w:tc>
        <w:tc>
          <w:tcPr>
            <w:tcW w:w="240" w:type="dxa"/>
            <w:vAlign w:val="bottom"/>
            <w:shd w:val="clear" w:color="auto" w:fill="232F84"/>
          </w:tcPr>
          <w:p>
            <w:pPr>
              <w:spacing w:after="0"/>
              <w:rPr>
                <w:sz w:val="2"/>
                <w:szCs w:val="2"/>
                <w:color w:val="auto"/>
              </w:rPr>
            </w:pPr>
          </w:p>
        </w:tc>
        <w:tc>
          <w:tcPr>
            <w:tcW w:w="960" w:type="dxa"/>
            <w:vAlign w:val="bottom"/>
            <w:shd w:val="clear" w:color="auto" w:fill="232F84"/>
          </w:tcPr>
          <w:p>
            <w:pPr>
              <w:spacing w:after="0"/>
              <w:rPr>
                <w:sz w:val="2"/>
                <w:szCs w:val="2"/>
                <w:color w:val="auto"/>
              </w:rPr>
            </w:pPr>
          </w:p>
        </w:tc>
        <w:tc>
          <w:tcPr>
            <w:tcW w:w="580" w:type="dxa"/>
            <w:vAlign w:val="bottom"/>
            <w:shd w:val="clear" w:color="auto" w:fill="232F84"/>
          </w:tcPr>
          <w:p>
            <w:pPr>
              <w:spacing w:after="0"/>
              <w:rPr>
                <w:sz w:val="2"/>
                <w:szCs w:val="2"/>
                <w:color w:val="auto"/>
              </w:rPr>
            </w:pPr>
          </w:p>
        </w:tc>
        <w:tc>
          <w:tcPr>
            <w:tcW w:w="860" w:type="dxa"/>
            <w:vAlign w:val="bottom"/>
            <w:shd w:val="clear" w:color="auto" w:fill="232F84"/>
          </w:tcPr>
          <w:p>
            <w:pPr>
              <w:spacing w:after="0"/>
              <w:rPr>
                <w:sz w:val="2"/>
                <w:szCs w:val="2"/>
                <w:color w:val="auto"/>
              </w:rPr>
            </w:pPr>
          </w:p>
        </w:tc>
        <w:tc>
          <w:tcPr>
            <w:tcW w:w="120" w:type="dxa"/>
            <w:vAlign w:val="bottom"/>
            <w:shd w:val="clear" w:color="auto" w:fill="232F84"/>
          </w:tcPr>
          <w:p>
            <w:pPr>
              <w:spacing w:after="0"/>
              <w:rPr>
                <w:sz w:val="2"/>
                <w:szCs w:val="2"/>
                <w:color w:val="auto"/>
              </w:rPr>
            </w:pPr>
          </w:p>
        </w:tc>
        <w:tc>
          <w:tcPr>
            <w:tcW w:w="660" w:type="dxa"/>
            <w:vAlign w:val="bottom"/>
            <w:shd w:val="clear" w:color="auto" w:fill="232F84"/>
          </w:tcPr>
          <w:p>
            <w:pPr>
              <w:spacing w:after="0"/>
              <w:rPr>
                <w:sz w:val="2"/>
                <w:szCs w:val="2"/>
                <w:color w:val="auto"/>
              </w:rPr>
            </w:pPr>
          </w:p>
        </w:tc>
        <w:tc>
          <w:tcPr>
            <w:tcW w:w="420" w:type="dxa"/>
            <w:vAlign w:val="bottom"/>
            <w:shd w:val="clear" w:color="auto" w:fill="232F84"/>
          </w:tcPr>
          <w:p>
            <w:pPr>
              <w:spacing w:after="0"/>
              <w:rPr>
                <w:sz w:val="2"/>
                <w:szCs w:val="2"/>
                <w:color w:val="auto"/>
              </w:rPr>
            </w:pPr>
          </w:p>
        </w:tc>
        <w:tc>
          <w:tcPr>
            <w:tcW w:w="460" w:type="dxa"/>
            <w:vAlign w:val="bottom"/>
            <w:shd w:val="clear" w:color="auto" w:fill="232F84"/>
          </w:tcPr>
          <w:p>
            <w:pPr>
              <w:spacing w:after="0"/>
              <w:rPr>
                <w:sz w:val="2"/>
                <w:szCs w:val="2"/>
                <w:color w:val="auto"/>
              </w:rPr>
            </w:pPr>
          </w:p>
        </w:tc>
        <w:tc>
          <w:tcPr>
            <w:tcW w:w="720" w:type="dxa"/>
            <w:vAlign w:val="bottom"/>
            <w:shd w:val="clear" w:color="auto" w:fill="232F8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vMerge w:val="continue"/>
            <w:shd w:val="clear" w:color="auto" w:fill="232F84"/>
          </w:tcPr>
          <w:p>
            <w:pPr>
              <w:spacing w:after="0"/>
              <w:rPr>
                <w:sz w:val="18"/>
                <w:szCs w:val="18"/>
                <w:color w:val="auto"/>
              </w:rPr>
            </w:pPr>
          </w:p>
        </w:tc>
        <w:tc>
          <w:tcPr>
            <w:tcW w:w="220" w:type="dxa"/>
            <w:vAlign w:val="bottom"/>
            <w:shd w:val="clear" w:color="auto" w:fill="232F84"/>
          </w:tcPr>
          <w:p>
            <w:pPr>
              <w:spacing w:after="0"/>
              <w:rPr>
                <w:sz w:val="18"/>
                <w:szCs w:val="18"/>
                <w:color w:val="auto"/>
              </w:rPr>
            </w:pPr>
          </w:p>
        </w:tc>
        <w:tc>
          <w:tcPr>
            <w:tcW w:w="980" w:type="dxa"/>
            <w:vAlign w:val="bottom"/>
            <w:shd w:val="clear" w:color="auto" w:fill="232F84"/>
          </w:tcPr>
          <w:p>
            <w:pPr>
              <w:spacing w:after="0"/>
              <w:rPr>
                <w:sz w:val="18"/>
                <w:szCs w:val="18"/>
                <w:color w:val="auto"/>
              </w:rPr>
            </w:pPr>
          </w:p>
        </w:tc>
        <w:tc>
          <w:tcPr>
            <w:tcW w:w="160" w:type="dxa"/>
            <w:vAlign w:val="bottom"/>
            <w:shd w:val="clear" w:color="auto" w:fill="232F84"/>
          </w:tcPr>
          <w:p>
            <w:pPr>
              <w:spacing w:after="0"/>
              <w:rPr>
                <w:sz w:val="18"/>
                <w:szCs w:val="18"/>
                <w:color w:val="auto"/>
              </w:rPr>
            </w:pPr>
          </w:p>
        </w:tc>
        <w:tc>
          <w:tcPr>
            <w:tcW w:w="1020" w:type="dxa"/>
            <w:vAlign w:val="bottom"/>
            <w:shd w:val="clear" w:color="auto" w:fill="232F84"/>
          </w:tcPr>
          <w:p>
            <w:pPr>
              <w:jc w:val="right"/>
              <w:ind w:right="368"/>
              <w:spacing w:after="0"/>
              <w:rPr>
                <w:sz w:val="20"/>
                <w:szCs w:val="20"/>
                <w:color w:val="auto"/>
              </w:rPr>
            </w:pPr>
            <w:r>
              <w:rPr>
                <w:rFonts w:ascii="Arial" w:cs="Arial" w:eastAsia="Arial" w:hAnsi="Arial"/>
                <w:sz w:val="14"/>
                <w:szCs w:val="14"/>
                <w:b w:val="1"/>
                <w:bCs w:val="1"/>
                <w:color w:val="FFFFFF"/>
              </w:rPr>
              <w:t>2021</w:t>
            </w:r>
          </w:p>
        </w:tc>
        <w:tc>
          <w:tcPr>
            <w:tcW w:w="240" w:type="dxa"/>
            <w:vAlign w:val="bottom"/>
            <w:shd w:val="clear" w:color="auto" w:fill="232F84"/>
          </w:tcPr>
          <w:p>
            <w:pPr>
              <w:spacing w:after="0"/>
              <w:rPr>
                <w:sz w:val="18"/>
                <w:szCs w:val="18"/>
                <w:color w:val="auto"/>
              </w:rPr>
            </w:pPr>
          </w:p>
        </w:tc>
        <w:tc>
          <w:tcPr>
            <w:tcW w:w="960" w:type="dxa"/>
            <w:vAlign w:val="bottom"/>
            <w:shd w:val="clear" w:color="auto" w:fill="232F84"/>
          </w:tcPr>
          <w:p>
            <w:pPr>
              <w:spacing w:after="0"/>
              <w:rPr>
                <w:sz w:val="18"/>
                <w:szCs w:val="18"/>
                <w:color w:val="auto"/>
              </w:rPr>
            </w:pPr>
          </w:p>
        </w:tc>
        <w:tc>
          <w:tcPr>
            <w:tcW w:w="580" w:type="dxa"/>
            <w:vAlign w:val="bottom"/>
            <w:shd w:val="clear" w:color="auto" w:fill="232F84"/>
          </w:tcPr>
          <w:p>
            <w:pPr>
              <w:spacing w:after="0"/>
              <w:rPr>
                <w:sz w:val="18"/>
                <w:szCs w:val="18"/>
                <w:color w:val="auto"/>
              </w:rPr>
            </w:pPr>
          </w:p>
        </w:tc>
        <w:tc>
          <w:tcPr>
            <w:tcW w:w="860" w:type="dxa"/>
            <w:vAlign w:val="bottom"/>
            <w:shd w:val="clear" w:color="auto" w:fill="232F84"/>
          </w:tcPr>
          <w:p>
            <w:pPr>
              <w:spacing w:after="0"/>
              <w:rPr>
                <w:sz w:val="18"/>
                <w:szCs w:val="18"/>
                <w:color w:val="auto"/>
              </w:rPr>
            </w:pPr>
          </w:p>
        </w:tc>
        <w:tc>
          <w:tcPr>
            <w:tcW w:w="120" w:type="dxa"/>
            <w:vAlign w:val="bottom"/>
            <w:shd w:val="clear" w:color="auto" w:fill="232F84"/>
          </w:tcPr>
          <w:p>
            <w:pPr>
              <w:spacing w:after="0"/>
              <w:rPr>
                <w:sz w:val="18"/>
                <w:szCs w:val="18"/>
                <w:color w:val="auto"/>
              </w:rPr>
            </w:pPr>
          </w:p>
        </w:tc>
        <w:tc>
          <w:tcPr>
            <w:tcW w:w="6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232F84"/>
          </w:tcPr>
          <w:p>
            <w:pPr>
              <w:spacing w:after="0"/>
              <w:rPr>
                <w:sz w:val="18"/>
                <w:szCs w:val="18"/>
                <w:color w:val="auto"/>
              </w:rPr>
            </w:pPr>
          </w:p>
        </w:tc>
        <w:tc>
          <w:tcPr>
            <w:tcW w:w="460" w:type="dxa"/>
            <w:vAlign w:val="bottom"/>
            <w:shd w:val="clear" w:color="auto" w:fill="232F84"/>
          </w:tcPr>
          <w:p>
            <w:pPr>
              <w:spacing w:after="0"/>
              <w:rPr>
                <w:sz w:val="18"/>
                <w:szCs w:val="18"/>
                <w:color w:val="auto"/>
              </w:rPr>
            </w:pPr>
          </w:p>
        </w:tc>
        <w:tc>
          <w:tcPr>
            <w:tcW w:w="720" w:type="dxa"/>
            <w:vAlign w:val="bottom"/>
            <w:shd w:val="clear" w:color="auto" w:fill="232F8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Third party sales</w:t>
            </w:r>
          </w:p>
        </w:tc>
        <w:tc>
          <w:tcPr>
            <w:tcW w:w="2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232.4</w:t>
            </w:r>
          </w:p>
        </w:tc>
        <w:tc>
          <w:tcPr>
            <w:tcW w:w="16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w:t>
            </w:r>
          </w:p>
        </w:tc>
        <w:tc>
          <w:tcPr>
            <w:tcW w:w="240" w:type="dxa"/>
            <w:vAlign w:val="bottom"/>
            <w:shd w:val="clear" w:color="auto" w:fill="43C0B9"/>
          </w:tcPr>
          <w:p>
            <w:pPr>
              <w:jc w:val="center"/>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234.7</w:t>
            </w:r>
          </w:p>
        </w:tc>
        <w:tc>
          <w:tcPr>
            <w:tcW w:w="580" w:type="dxa"/>
            <w:vAlign w:val="bottom"/>
            <w:shd w:val="clear" w:color="auto" w:fill="43C0B9"/>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219.5</w:t>
            </w:r>
          </w:p>
        </w:tc>
        <w:tc>
          <w:tcPr>
            <w:tcW w:w="1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43C0B9"/>
          </w:tcPr>
          <w:p>
            <w:pPr>
              <w:spacing w:after="0"/>
              <w:rPr>
                <w:sz w:val="18"/>
                <w:szCs w:val="18"/>
                <w:color w:val="auto"/>
              </w:rPr>
            </w:pPr>
          </w:p>
        </w:tc>
        <w:tc>
          <w:tcPr>
            <w:tcW w:w="420" w:type="dxa"/>
            <w:vAlign w:val="bottom"/>
            <w:shd w:val="clear" w:color="auto" w:fill="43C0B9"/>
          </w:tcPr>
          <w:p>
            <w:pPr>
              <w:jc w:val="center"/>
              <w:spacing w:after="0"/>
              <w:rPr>
                <w:sz w:val="20"/>
                <w:szCs w:val="20"/>
                <w:color w:val="auto"/>
              </w:rPr>
            </w:pPr>
            <w:r>
              <w:rPr>
                <w:rFonts w:ascii="Arial" w:cs="Arial" w:eastAsia="Arial" w:hAnsi="Arial"/>
                <w:sz w:val="14"/>
                <w:szCs w:val="14"/>
                <w:color w:val="auto"/>
              </w:rPr>
              <w:t>2.1</w:t>
            </w:r>
          </w:p>
        </w:tc>
        <w:tc>
          <w:tcPr>
            <w:tcW w:w="460" w:type="dxa"/>
            <w:vAlign w:val="bottom"/>
            <w:shd w:val="clear" w:color="auto" w:fill="43C0B9"/>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Affiliated sales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0.3</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6"/>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segment sales</w:t>
            </w:r>
          </w:p>
        </w:tc>
        <w:tc>
          <w:tcPr>
            <w:tcW w:w="220" w:type="dxa"/>
            <w:vAlign w:val="bottom"/>
            <w:shd w:val="clear" w:color="auto" w:fill="43C0B9"/>
          </w:tcPr>
          <w:p>
            <w:pPr>
              <w:spacing w:after="0"/>
              <w:rPr>
                <w:sz w:val="18"/>
                <w:szCs w:val="18"/>
                <w:color w:val="auto"/>
              </w:rPr>
            </w:pPr>
          </w:p>
        </w:tc>
        <w:tc>
          <w:tcPr>
            <w:tcW w:w="9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232.4</w:t>
            </w:r>
          </w:p>
        </w:tc>
        <w:tc>
          <w:tcPr>
            <w:tcW w:w="160" w:type="dxa"/>
            <w:vAlign w:val="bottom"/>
            <w:shd w:val="clear" w:color="auto" w:fill="43C0B9"/>
          </w:tcPr>
          <w:p>
            <w:pPr>
              <w:spacing w:after="0"/>
              <w:rPr>
                <w:sz w:val="18"/>
                <w:szCs w:val="18"/>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4.3</w:t>
            </w:r>
          </w:p>
        </w:tc>
        <w:tc>
          <w:tcPr>
            <w:tcW w:w="240" w:type="dxa"/>
            <w:vAlign w:val="bottom"/>
            <w:shd w:val="clear" w:color="auto" w:fill="43C0B9"/>
          </w:tcPr>
          <w:p>
            <w:pPr>
              <w:spacing w:after="0"/>
              <w:rPr>
                <w:sz w:val="18"/>
                <w:szCs w:val="18"/>
                <w:color w:val="auto"/>
              </w:rPr>
            </w:pPr>
          </w:p>
        </w:tc>
        <w:tc>
          <w:tcPr>
            <w:tcW w:w="96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236.7</w:t>
            </w:r>
          </w:p>
        </w:tc>
        <w:tc>
          <w:tcPr>
            <w:tcW w:w="580" w:type="dxa"/>
            <w:vAlign w:val="bottom"/>
            <w:shd w:val="clear" w:color="auto" w:fill="43C0B9"/>
          </w:tcPr>
          <w:p>
            <w:pPr>
              <w:spacing w:after="0"/>
              <w:rPr>
                <w:sz w:val="18"/>
                <w:szCs w:val="18"/>
                <w:color w:val="auto"/>
              </w:rPr>
            </w:pPr>
          </w:p>
        </w:tc>
        <w:tc>
          <w:tcPr>
            <w:tcW w:w="8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219.5</w:t>
            </w:r>
          </w:p>
        </w:tc>
        <w:tc>
          <w:tcPr>
            <w:tcW w:w="120" w:type="dxa"/>
            <w:vAlign w:val="bottom"/>
            <w:shd w:val="clear" w:color="auto" w:fill="43C0B9"/>
          </w:tcPr>
          <w:p>
            <w:pPr>
              <w:spacing w:after="0"/>
              <w:rPr>
                <w:sz w:val="18"/>
                <w:szCs w:val="18"/>
                <w:color w:val="auto"/>
              </w:rPr>
            </w:pPr>
          </w:p>
        </w:tc>
        <w:tc>
          <w:tcPr>
            <w:tcW w:w="660" w:type="dxa"/>
            <w:vAlign w:val="bottom"/>
            <w:shd w:val="clear" w:color="auto" w:fill="43C0B9"/>
          </w:tcPr>
          <w:p>
            <w:pPr>
              <w:spacing w:after="0"/>
              <w:rPr>
                <w:sz w:val="18"/>
                <w:szCs w:val="18"/>
                <w:color w:val="auto"/>
              </w:rPr>
            </w:pPr>
          </w:p>
        </w:tc>
        <w:tc>
          <w:tcPr>
            <w:tcW w:w="420" w:type="dxa"/>
            <w:vAlign w:val="bottom"/>
            <w:shd w:val="clear" w:color="auto" w:fill="43C0B9"/>
          </w:tcPr>
          <w:p>
            <w:pPr>
              <w:jc w:val="center"/>
              <w:spacing w:after="0"/>
              <w:rPr>
                <w:sz w:val="20"/>
                <w:szCs w:val="20"/>
                <w:color w:val="auto"/>
              </w:rPr>
            </w:pPr>
            <w:r>
              <w:rPr>
                <w:rFonts w:ascii="Arial" w:cs="Arial" w:eastAsia="Arial" w:hAnsi="Arial"/>
                <w:sz w:val="14"/>
                <w:szCs w:val="14"/>
                <w:color w:val="auto"/>
              </w:rPr>
              <w:t>2.4</w:t>
            </w:r>
          </w:p>
        </w:tc>
        <w:tc>
          <w:tcPr>
            <w:tcW w:w="460" w:type="dxa"/>
            <w:vAlign w:val="bottom"/>
            <w:shd w:val="clear" w:color="auto" w:fill="43C0B9"/>
          </w:tcPr>
          <w:p>
            <w:pPr>
              <w:spacing w:after="0"/>
              <w:rPr>
                <w:sz w:val="18"/>
                <w:szCs w:val="18"/>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Intercompany eliminations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(0.3)</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9"/>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net sales</w:t>
            </w:r>
          </w:p>
        </w:tc>
        <w:tc>
          <w:tcPr>
            <w:tcW w:w="2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232.4</w:t>
            </w:r>
          </w:p>
        </w:tc>
        <w:tc>
          <w:tcPr>
            <w:tcW w:w="16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w:t>
            </w:r>
          </w:p>
        </w:tc>
        <w:tc>
          <w:tcPr>
            <w:tcW w:w="240" w:type="dxa"/>
            <w:vAlign w:val="bottom"/>
            <w:shd w:val="clear" w:color="auto" w:fill="43C0B9"/>
          </w:tcPr>
          <w:p>
            <w:pPr>
              <w:jc w:val="center"/>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234.7</w:t>
            </w:r>
          </w:p>
        </w:tc>
        <w:tc>
          <w:tcPr>
            <w:tcW w:w="580" w:type="dxa"/>
            <w:vAlign w:val="bottom"/>
            <w:shd w:val="clear" w:color="auto" w:fill="43C0B9"/>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219.5</w:t>
            </w:r>
          </w:p>
        </w:tc>
        <w:tc>
          <w:tcPr>
            <w:tcW w:w="1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43C0B9"/>
          </w:tcPr>
          <w:p>
            <w:pPr>
              <w:spacing w:after="0"/>
              <w:rPr>
                <w:sz w:val="18"/>
                <w:szCs w:val="18"/>
                <w:color w:val="auto"/>
              </w:rPr>
            </w:pPr>
          </w:p>
        </w:tc>
        <w:tc>
          <w:tcPr>
            <w:tcW w:w="420" w:type="dxa"/>
            <w:vAlign w:val="bottom"/>
            <w:shd w:val="clear" w:color="auto" w:fill="43C0B9"/>
          </w:tcPr>
          <w:p>
            <w:pPr>
              <w:jc w:val="center"/>
              <w:spacing w:after="0"/>
              <w:rPr>
                <w:sz w:val="20"/>
                <w:szCs w:val="20"/>
                <w:color w:val="auto"/>
              </w:rPr>
            </w:pPr>
            <w:r>
              <w:rPr>
                <w:rFonts w:ascii="Arial" w:cs="Arial" w:eastAsia="Arial" w:hAnsi="Arial"/>
                <w:sz w:val="14"/>
                <w:szCs w:val="14"/>
                <w:color w:val="auto"/>
              </w:rPr>
              <w:t>2.1</w:t>
            </w:r>
          </w:p>
        </w:tc>
        <w:tc>
          <w:tcPr>
            <w:tcW w:w="460" w:type="dxa"/>
            <w:vAlign w:val="bottom"/>
            <w:shd w:val="clear" w:color="auto" w:fill="43C0B9"/>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26"/>
        </w:trPr>
        <w:tc>
          <w:tcPr>
            <w:tcW w:w="3840" w:type="dxa"/>
            <w:vAlign w:val="bottom"/>
            <w:shd w:val="clear" w:color="auto" w:fill="232F84"/>
          </w:tcPr>
          <w:p>
            <w:pPr>
              <w:spacing w:after="0"/>
              <w:rPr>
                <w:sz w:val="19"/>
                <w:szCs w:val="19"/>
                <w:color w:val="auto"/>
              </w:rPr>
            </w:pPr>
          </w:p>
        </w:tc>
        <w:tc>
          <w:tcPr>
            <w:tcW w:w="220" w:type="dxa"/>
            <w:vAlign w:val="bottom"/>
            <w:shd w:val="clear" w:color="auto" w:fill="232F84"/>
          </w:tcPr>
          <w:p>
            <w:pPr>
              <w:spacing w:after="0"/>
              <w:rPr>
                <w:sz w:val="19"/>
                <w:szCs w:val="19"/>
                <w:color w:val="auto"/>
              </w:rPr>
            </w:pPr>
          </w:p>
        </w:tc>
        <w:tc>
          <w:tcPr>
            <w:tcW w:w="980" w:type="dxa"/>
            <w:vAlign w:val="bottom"/>
            <w:shd w:val="clear" w:color="auto" w:fill="232F84"/>
          </w:tcPr>
          <w:p>
            <w:pPr>
              <w:spacing w:after="0"/>
              <w:rPr>
                <w:sz w:val="19"/>
                <w:szCs w:val="19"/>
                <w:color w:val="auto"/>
              </w:rPr>
            </w:pPr>
          </w:p>
        </w:tc>
        <w:tc>
          <w:tcPr>
            <w:tcW w:w="160" w:type="dxa"/>
            <w:vAlign w:val="bottom"/>
            <w:shd w:val="clear" w:color="auto" w:fill="232F84"/>
          </w:tcPr>
          <w:p>
            <w:pPr>
              <w:spacing w:after="0"/>
              <w:rPr>
                <w:sz w:val="19"/>
                <w:szCs w:val="19"/>
                <w:color w:val="auto"/>
              </w:rPr>
            </w:pPr>
          </w:p>
        </w:tc>
        <w:tc>
          <w:tcPr>
            <w:tcW w:w="1020" w:type="dxa"/>
            <w:vAlign w:val="bottom"/>
            <w:shd w:val="clear" w:color="auto" w:fill="232F84"/>
          </w:tcPr>
          <w:p>
            <w:pPr>
              <w:spacing w:after="0"/>
              <w:rPr>
                <w:sz w:val="19"/>
                <w:szCs w:val="19"/>
                <w:color w:val="auto"/>
              </w:rPr>
            </w:pPr>
          </w:p>
        </w:tc>
        <w:tc>
          <w:tcPr>
            <w:tcW w:w="240" w:type="dxa"/>
            <w:vAlign w:val="bottom"/>
            <w:shd w:val="clear" w:color="auto" w:fill="232F84"/>
          </w:tcPr>
          <w:p>
            <w:pPr>
              <w:spacing w:after="0"/>
              <w:rPr>
                <w:sz w:val="19"/>
                <w:szCs w:val="19"/>
                <w:color w:val="auto"/>
              </w:rPr>
            </w:pPr>
          </w:p>
        </w:tc>
        <w:tc>
          <w:tcPr>
            <w:tcW w:w="2400" w:type="dxa"/>
            <w:vAlign w:val="bottom"/>
            <w:gridSpan w:val="3"/>
            <w:shd w:val="clear" w:color="auto" w:fill="232F84"/>
          </w:tcPr>
          <w:p>
            <w:pPr>
              <w:jc w:val="right"/>
              <w:ind w:right="328"/>
              <w:spacing w:after="0"/>
              <w:rPr>
                <w:sz w:val="20"/>
                <w:szCs w:val="20"/>
                <w:color w:val="auto"/>
              </w:rPr>
            </w:pPr>
            <w:r>
              <w:rPr>
                <w:rFonts w:ascii="Arial" w:cs="Arial" w:eastAsia="Arial" w:hAnsi="Arial"/>
                <w:sz w:val="14"/>
                <w:szCs w:val="14"/>
                <w:b w:val="1"/>
                <w:bCs w:val="1"/>
                <w:color w:val="FFFFFF"/>
              </w:rPr>
              <w:t>Six Months Ended April 30,</w:t>
            </w:r>
          </w:p>
        </w:tc>
        <w:tc>
          <w:tcPr>
            <w:tcW w:w="120" w:type="dxa"/>
            <w:vAlign w:val="bottom"/>
            <w:shd w:val="clear" w:color="auto" w:fill="232F84"/>
          </w:tcPr>
          <w:p>
            <w:pPr>
              <w:spacing w:after="0"/>
              <w:rPr>
                <w:sz w:val="19"/>
                <w:szCs w:val="19"/>
                <w:color w:val="auto"/>
              </w:rPr>
            </w:pPr>
          </w:p>
        </w:tc>
        <w:tc>
          <w:tcPr>
            <w:tcW w:w="660" w:type="dxa"/>
            <w:vAlign w:val="bottom"/>
            <w:shd w:val="clear" w:color="auto" w:fill="232F84"/>
          </w:tcPr>
          <w:p>
            <w:pPr>
              <w:spacing w:after="0"/>
              <w:rPr>
                <w:sz w:val="19"/>
                <w:szCs w:val="19"/>
                <w:color w:val="auto"/>
              </w:rPr>
            </w:pPr>
          </w:p>
        </w:tc>
        <w:tc>
          <w:tcPr>
            <w:tcW w:w="420" w:type="dxa"/>
            <w:vAlign w:val="bottom"/>
            <w:shd w:val="clear" w:color="auto" w:fill="232F84"/>
          </w:tcPr>
          <w:p>
            <w:pPr>
              <w:spacing w:after="0"/>
              <w:rPr>
                <w:sz w:val="19"/>
                <w:szCs w:val="19"/>
                <w:color w:val="auto"/>
              </w:rPr>
            </w:pPr>
          </w:p>
        </w:tc>
        <w:tc>
          <w:tcPr>
            <w:tcW w:w="460" w:type="dxa"/>
            <w:vAlign w:val="bottom"/>
            <w:shd w:val="clear" w:color="auto" w:fill="232F84"/>
          </w:tcPr>
          <w:p>
            <w:pPr>
              <w:spacing w:after="0"/>
              <w:rPr>
                <w:sz w:val="19"/>
                <w:szCs w:val="19"/>
                <w:color w:val="auto"/>
              </w:rPr>
            </w:pPr>
          </w:p>
        </w:tc>
        <w:tc>
          <w:tcPr>
            <w:tcW w:w="720" w:type="dxa"/>
            <w:vAlign w:val="bottom"/>
            <w:shd w:val="clear" w:color="auto" w:fill="232F84"/>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shd w:val="clear" w:color="auto" w:fill="232F84"/>
          </w:tcPr>
          <w:p>
            <w:pPr>
              <w:spacing w:after="0"/>
              <w:rPr>
                <w:sz w:val="19"/>
                <w:szCs w:val="19"/>
                <w:color w:val="auto"/>
              </w:rPr>
            </w:pPr>
          </w:p>
        </w:tc>
        <w:tc>
          <w:tcPr>
            <w:tcW w:w="220" w:type="dxa"/>
            <w:vAlign w:val="bottom"/>
            <w:shd w:val="clear" w:color="auto" w:fill="232F84"/>
          </w:tcPr>
          <w:p>
            <w:pPr>
              <w:spacing w:after="0"/>
              <w:rPr>
                <w:sz w:val="19"/>
                <w:szCs w:val="19"/>
                <w:color w:val="auto"/>
              </w:rPr>
            </w:pPr>
          </w:p>
        </w:tc>
        <w:tc>
          <w:tcPr>
            <w:tcW w:w="980" w:type="dxa"/>
            <w:vAlign w:val="bottom"/>
            <w:shd w:val="clear" w:color="auto" w:fill="232F84"/>
          </w:tcPr>
          <w:p>
            <w:pPr>
              <w:spacing w:after="0"/>
              <w:rPr>
                <w:sz w:val="19"/>
                <w:szCs w:val="19"/>
                <w:color w:val="auto"/>
              </w:rPr>
            </w:pPr>
          </w:p>
        </w:tc>
        <w:tc>
          <w:tcPr>
            <w:tcW w:w="160" w:type="dxa"/>
            <w:vAlign w:val="bottom"/>
            <w:shd w:val="clear" w:color="auto" w:fill="232F84"/>
          </w:tcPr>
          <w:p>
            <w:pPr>
              <w:spacing w:after="0"/>
              <w:rPr>
                <w:sz w:val="19"/>
                <w:szCs w:val="19"/>
                <w:color w:val="auto"/>
              </w:rPr>
            </w:pPr>
          </w:p>
        </w:tc>
        <w:tc>
          <w:tcPr>
            <w:tcW w:w="1020" w:type="dxa"/>
            <w:vAlign w:val="bottom"/>
            <w:shd w:val="clear" w:color="auto" w:fill="232F84"/>
          </w:tcPr>
          <w:p>
            <w:pPr>
              <w:jc w:val="right"/>
              <w:ind w:right="368"/>
              <w:spacing w:after="0"/>
              <w:rPr>
                <w:sz w:val="20"/>
                <w:szCs w:val="20"/>
                <w:color w:val="auto"/>
              </w:rPr>
            </w:pPr>
            <w:r>
              <w:rPr>
                <w:rFonts w:ascii="Arial" w:cs="Arial" w:eastAsia="Arial" w:hAnsi="Arial"/>
                <w:sz w:val="14"/>
                <w:szCs w:val="14"/>
                <w:b w:val="1"/>
                <w:bCs w:val="1"/>
                <w:color w:val="FFFFFF"/>
              </w:rPr>
              <w:t>2021</w:t>
            </w:r>
          </w:p>
        </w:tc>
        <w:tc>
          <w:tcPr>
            <w:tcW w:w="240" w:type="dxa"/>
            <w:vAlign w:val="bottom"/>
            <w:shd w:val="clear" w:color="auto" w:fill="232F84"/>
          </w:tcPr>
          <w:p>
            <w:pPr>
              <w:spacing w:after="0"/>
              <w:rPr>
                <w:sz w:val="19"/>
                <w:szCs w:val="19"/>
                <w:color w:val="auto"/>
              </w:rPr>
            </w:pPr>
          </w:p>
        </w:tc>
        <w:tc>
          <w:tcPr>
            <w:tcW w:w="960" w:type="dxa"/>
            <w:vAlign w:val="bottom"/>
            <w:shd w:val="clear" w:color="auto" w:fill="232F84"/>
          </w:tcPr>
          <w:p>
            <w:pPr>
              <w:spacing w:after="0"/>
              <w:rPr>
                <w:sz w:val="19"/>
                <w:szCs w:val="19"/>
                <w:color w:val="auto"/>
              </w:rPr>
            </w:pPr>
          </w:p>
        </w:tc>
        <w:tc>
          <w:tcPr>
            <w:tcW w:w="580" w:type="dxa"/>
            <w:vAlign w:val="bottom"/>
            <w:shd w:val="clear" w:color="auto" w:fill="232F84"/>
          </w:tcPr>
          <w:p>
            <w:pPr>
              <w:spacing w:after="0"/>
              <w:rPr>
                <w:sz w:val="19"/>
                <w:szCs w:val="19"/>
                <w:color w:val="auto"/>
              </w:rPr>
            </w:pPr>
          </w:p>
        </w:tc>
        <w:tc>
          <w:tcPr>
            <w:tcW w:w="860" w:type="dxa"/>
            <w:vAlign w:val="bottom"/>
            <w:shd w:val="clear" w:color="auto" w:fill="232F84"/>
          </w:tcPr>
          <w:p>
            <w:pPr>
              <w:spacing w:after="0"/>
              <w:rPr>
                <w:sz w:val="19"/>
                <w:szCs w:val="19"/>
                <w:color w:val="auto"/>
              </w:rPr>
            </w:pPr>
          </w:p>
        </w:tc>
        <w:tc>
          <w:tcPr>
            <w:tcW w:w="120" w:type="dxa"/>
            <w:vAlign w:val="bottom"/>
            <w:shd w:val="clear" w:color="auto" w:fill="232F84"/>
          </w:tcPr>
          <w:p>
            <w:pPr>
              <w:spacing w:after="0"/>
              <w:rPr>
                <w:sz w:val="19"/>
                <w:szCs w:val="19"/>
                <w:color w:val="auto"/>
              </w:rPr>
            </w:pPr>
          </w:p>
        </w:tc>
        <w:tc>
          <w:tcPr>
            <w:tcW w:w="6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232F84"/>
          </w:tcPr>
          <w:p>
            <w:pPr>
              <w:spacing w:after="0"/>
              <w:rPr>
                <w:sz w:val="19"/>
                <w:szCs w:val="19"/>
                <w:color w:val="auto"/>
              </w:rPr>
            </w:pPr>
          </w:p>
        </w:tc>
        <w:tc>
          <w:tcPr>
            <w:tcW w:w="460" w:type="dxa"/>
            <w:vAlign w:val="bottom"/>
            <w:shd w:val="clear" w:color="auto" w:fill="232F84"/>
          </w:tcPr>
          <w:p>
            <w:pPr>
              <w:spacing w:after="0"/>
              <w:rPr>
                <w:sz w:val="19"/>
                <w:szCs w:val="19"/>
                <w:color w:val="auto"/>
              </w:rPr>
            </w:pPr>
          </w:p>
        </w:tc>
        <w:tc>
          <w:tcPr>
            <w:tcW w:w="720" w:type="dxa"/>
            <w:vAlign w:val="bottom"/>
            <w:shd w:val="clear" w:color="auto" w:fill="232F8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4"/>
                <w:szCs w:val="14"/>
                <w:color w:val="auto"/>
              </w:rPr>
              <w:t>Third party sales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402.0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5.9</w:t>
            </w:r>
          </w:p>
        </w:tc>
        <w:tc>
          <w:tcPr>
            <w:tcW w:w="240" w:type="dxa"/>
            <w:vAlign w:val="bottom"/>
          </w:tcPr>
          <w:p>
            <w:pPr>
              <w:jc w:val="center"/>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407.9</w:t>
            </w: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414.0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rPr>
              <w:t>5.1</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Affiliated sales</w:t>
            </w:r>
          </w:p>
        </w:tc>
        <w:tc>
          <w:tcPr>
            <w:tcW w:w="220" w:type="dxa"/>
            <w:vAlign w:val="bottom"/>
            <w:tcBorders>
              <w:bottom w:val="single" w:sz="8" w:color="auto"/>
            </w:tcBorders>
            <w:shd w:val="clear" w:color="auto" w:fill="43C0B9"/>
          </w:tcPr>
          <w:p>
            <w:pPr>
              <w:spacing w:after="0"/>
              <w:rPr>
                <w:sz w:val="18"/>
                <w:szCs w:val="18"/>
                <w:color w:val="auto"/>
              </w:rPr>
            </w:pPr>
          </w:p>
        </w:tc>
        <w:tc>
          <w:tcPr>
            <w:tcW w:w="9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43C0B9"/>
          </w:tcPr>
          <w:p>
            <w:pPr>
              <w:spacing w:after="0"/>
              <w:rPr>
                <w:sz w:val="18"/>
                <w:szCs w:val="18"/>
                <w:color w:val="auto"/>
              </w:rPr>
            </w:pPr>
          </w:p>
        </w:tc>
        <w:tc>
          <w:tcPr>
            <w:tcW w:w="10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auto"/>
            </w:tcBorders>
            <w:shd w:val="clear" w:color="auto" w:fill="43C0B9"/>
          </w:tcPr>
          <w:p>
            <w:pPr>
              <w:spacing w:after="0"/>
              <w:rPr>
                <w:sz w:val="18"/>
                <w:szCs w:val="18"/>
                <w:color w:val="auto"/>
              </w:rPr>
            </w:pPr>
          </w:p>
        </w:tc>
        <w:tc>
          <w:tcPr>
            <w:tcW w:w="96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2.2</w:t>
            </w:r>
          </w:p>
        </w:tc>
        <w:tc>
          <w:tcPr>
            <w:tcW w:w="580" w:type="dxa"/>
            <w:vAlign w:val="bottom"/>
            <w:tcBorders>
              <w:bottom w:val="single" w:sz="8" w:color="auto"/>
            </w:tcBorders>
            <w:shd w:val="clear" w:color="auto" w:fill="43C0B9"/>
          </w:tcPr>
          <w:p>
            <w:pPr>
              <w:spacing w:after="0"/>
              <w:rPr>
                <w:sz w:val="18"/>
                <w:szCs w:val="18"/>
                <w:color w:val="auto"/>
              </w:rPr>
            </w:pPr>
          </w:p>
        </w:tc>
        <w:tc>
          <w:tcPr>
            <w:tcW w:w="8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43C0B9"/>
          </w:tcPr>
          <w:p>
            <w:pPr>
              <w:spacing w:after="0"/>
              <w:rPr>
                <w:sz w:val="18"/>
                <w:szCs w:val="18"/>
                <w:color w:val="auto"/>
              </w:rPr>
            </w:pPr>
          </w:p>
        </w:tc>
        <w:tc>
          <w:tcPr>
            <w:tcW w:w="660" w:type="dxa"/>
            <w:vAlign w:val="bottom"/>
            <w:tcBorders>
              <w:bottom w:val="single" w:sz="8" w:color="auto"/>
            </w:tcBorders>
            <w:shd w:val="clear" w:color="auto" w:fill="43C0B9"/>
          </w:tcPr>
          <w:p>
            <w:pPr>
              <w:spacing w:after="0"/>
              <w:rPr>
                <w:sz w:val="18"/>
                <w:szCs w:val="18"/>
                <w:color w:val="auto"/>
              </w:rPr>
            </w:pPr>
          </w:p>
        </w:tc>
        <w:tc>
          <w:tcPr>
            <w:tcW w:w="420" w:type="dxa"/>
            <w:vAlign w:val="bottom"/>
            <w:tcBorders>
              <w:bottom w:val="single" w:sz="8" w:color="auto"/>
            </w:tcBorders>
            <w:shd w:val="clear" w:color="auto" w:fill="43C0B9"/>
          </w:tcPr>
          <w:p>
            <w:pPr>
              <w:jc w:val="center"/>
              <w:spacing w:after="0"/>
              <w:rPr>
                <w:sz w:val="20"/>
                <w:szCs w:val="20"/>
                <w:color w:val="auto"/>
              </w:rPr>
            </w:pPr>
            <w:r>
              <w:rPr>
                <w:rFonts w:ascii="Arial" w:cs="Arial" w:eastAsia="Arial" w:hAnsi="Arial"/>
                <w:sz w:val="14"/>
                <w:szCs w:val="14"/>
                <w:color w:val="auto"/>
              </w:rPr>
              <w:t>0.3</w:t>
            </w:r>
          </w:p>
        </w:tc>
        <w:tc>
          <w:tcPr>
            <w:tcW w:w="46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4"/>
                <w:szCs w:val="14"/>
                <w:color w:val="auto"/>
              </w:rPr>
              <w:t>Total segment sales</w:t>
            </w:r>
          </w:p>
        </w:tc>
        <w:tc>
          <w:tcPr>
            <w:tcW w:w="2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402.0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2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410.1</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414.0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rPr>
              <w:t>5.4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Intercompany eliminations</w:t>
            </w:r>
          </w:p>
        </w:tc>
        <w:tc>
          <w:tcPr>
            <w:tcW w:w="220" w:type="dxa"/>
            <w:vAlign w:val="bottom"/>
            <w:tcBorders>
              <w:bottom w:val="single" w:sz="8" w:color="auto"/>
            </w:tcBorders>
            <w:shd w:val="clear" w:color="auto" w:fill="43C0B9"/>
          </w:tcPr>
          <w:p>
            <w:pPr>
              <w:spacing w:after="0"/>
              <w:rPr>
                <w:sz w:val="18"/>
                <w:szCs w:val="18"/>
                <w:color w:val="auto"/>
              </w:rPr>
            </w:pPr>
          </w:p>
        </w:tc>
        <w:tc>
          <w:tcPr>
            <w:tcW w:w="9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43C0B9"/>
          </w:tcPr>
          <w:p>
            <w:pPr>
              <w:spacing w:after="0"/>
              <w:rPr>
                <w:sz w:val="18"/>
                <w:szCs w:val="18"/>
                <w:color w:val="auto"/>
              </w:rPr>
            </w:pPr>
          </w:p>
        </w:tc>
        <w:tc>
          <w:tcPr>
            <w:tcW w:w="10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auto"/>
            </w:tcBorders>
            <w:shd w:val="clear" w:color="auto" w:fill="43C0B9"/>
          </w:tcPr>
          <w:p>
            <w:pPr>
              <w:spacing w:after="0"/>
              <w:rPr>
                <w:sz w:val="18"/>
                <w:szCs w:val="18"/>
                <w:color w:val="auto"/>
              </w:rPr>
            </w:pPr>
          </w:p>
        </w:tc>
        <w:tc>
          <w:tcPr>
            <w:tcW w:w="9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(2.2)</w:t>
            </w:r>
          </w:p>
        </w:tc>
        <w:tc>
          <w:tcPr>
            <w:tcW w:w="580" w:type="dxa"/>
            <w:vAlign w:val="bottom"/>
            <w:tcBorders>
              <w:bottom w:val="single" w:sz="8" w:color="auto"/>
            </w:tcBorders>
            <w:shd w:val="clear" w:color="auto" w:fill="43C0B9"/>
          </w:tcPr>
          <w:p>
            <w:pPr>
              <w:spacing w:after="0"/>
              <w:rPr>
                <w:sz w:val="18"/>
                <w:szCs w:val="18"/>
                <w:color w:val="auto"/>
              </w:rPr>
            </w:pPr>
          </w:p>
        </w:tc>
        <w:tc>
          <w:tcPr>
            <w:tcW w:w="8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43C0B9"/>
          </w:tcPr>
          <w:p>
            <w:pPr>
              <w:spacing w:after="0"/>
              <w:rPr>
                <w:sz w:val="18"/>
                <w:szCs w:val="18"/>
                <w:color w:val="auto"/>
              </w:rPr>
            </w:pPr>
          </w:p>
        </w:tc>
        <w:tc>
          <w:tcPr>
            <w:tcW w:w="660" w:type="dxa"/>
            <w:vAlign w:val="bottom"/>
            <w:tcBorders>
              <w:bottom w:val="single" w:sz="8" w:color="auto"/>
            </w:tcBorders>
            <w:shd w:val="clear" w:color="auto" w:fill="43C0B9"/>
          </w:tcPr>
          <w:p>
            <w:pPr>
              <w:spacing w:after="0"/>
              <w:rPr>
                <w:sz w:val="18"/>
                <w:szCs w:val="18"/>
                <w:color w:val="auto"/>
              </w:rPr>
            </w:pPr>
          </w:p>
        </w:tc>
        <w:tc>
          <w:tcPr>
            <w:tcW w:w="420" w:type="dxa"/>
            <w:vAlign w:val="bottom"/>
            <w:tcBorders>
              <w:bottom w:val="single" w:sz="8" w:color="auto"/>
            </w:tcBorders>
            <w:shd w:val="clear" w:color="auto" w:fill="43C0B9"/>
          </w:tcPr>
          <w:p>
            <w:pPr>
              <w:jc w:val="center"/>
              <w:spacing w:after="0"/>
              <w:rPr>
                <w:sz w:val="20"/>
                <w:szCs w:val="20"/>
                <w:color w:val="auto"/>
              </w:rPr>
            </w:pPr>
            <w:r>
              <w:rPr>
                <w:rFonts w:ascii="Arial" w:cs="Arial" w:eastAsia="Arial" w:hAnsi="Arial"/>
                <w:sz w:val="14"/>
                <w:szCs w:val="14"/>
                <w:color w:val="auto"/>
              </w:rPr>
              <w:t>(0.3)</w:t>
            </w:r>
          </w:p>
        </w:tc>
        <w:tc>
          <w:tcPr>
            <w:tcW w:w="46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402.0</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407.9</w:t>
            </w: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412"/>
        </w:trPr>
        <w:tc>
          <w:tcPr>
            <w:tcW w:w="3840" w:type="dxa"/>
            <w:vAlign w:val="bottom"/>
          </w:tcPr>
          <w:p>
            <w:pPr>
              <w:spacing w:after="0"/>
              <w:rPr>
                <w:sz w:val="20"/>
                <w:szCs w:val="20"/>
                <w:color w:val="auto"/>
              </w:rPr>
            </w:pPr>
            <w:r>
              <w:rPr>
                <w:rFonts w:ascii="Arial" w:cs="Arial" w:eastAsia="Arial" w:hAnsi="Arial"/>
                <w:sz w:val="16"/>
                <w:szCs w:val="16"/>
                <w:b w:val="1"/>
                <w:bCs w:val="1"/>
                <w:i w:val="1"/>
                <w:iCs w:val="1"/>
                <w:color w:val="232F84"/>
              </w:rPr>
              <w:t>Adjusted EBITDA</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40" w:type="dxa"/>
            <w:vAlign w:val="bottom"/>
            <w:shd w:val="clear" w:color="auto" w:fill="232F84"/>
          </w:tcPr>
          <w:p>
            <w:pPr>
              <w:spacing w:after="0"/>
              <w:rPr>
                <w:sz w:val="15"/>
                <w:szCs w:val="15"/>
                <w:color w:val="auto"/>
              </w:rPr>
            </w:pPr>
          </w:p>
        </w:tc>
        <w:tc>
          <w:tcPr>
            <w:tcW w:w="22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160" w:type="dxa"/>
            <w:vAlign w:val="bottom"/>
            <w:shd w:val="clear" w:color="auto" w:fill="232F84"/>
          </w:tcPr>
          <w:p>
            <w:pPr>
              <w:spacing w:after="0"/>
              <w:rPr>
                <w:sz w:val="15"/>
                <w:szCs w:val="15"/>
                <w:color w:val="auto"/>
              </w:rPr>
            </w:pPr>
          </w:p>
        </w:tc>
        <w:tc>
          <w:tcPr>
            <w:tcW w:w="2220" w:type="dxa"/>
            <w:vAlign w:val="bottom"/>
            <w:gridSpan w:val="3"/>
            <w:shd w:val="clear" w:color="auto" w:fill="232F84"/>
          </w:tcPr>
          <w:p>
            <w:pPr>
              <w:jc w:val="center"/>
              <w:ind w:right="28"/>
              <w:spacing w:after="0"/>
              <w:rPr>
                <w:sz w:val="20"/>
                <w:szCs w:val="20"/>
                <w:color w:val="auto"/>
              </w:rPr>
            </w:pPr>
            <w:r>
              <w:rPr>
                <w:rFonts w:ascii="Arial" w:cs="Arial" w:eastAsia="Arial" w:hAnsi="Arial"/>
                <w:sz w:val="14"/>
                <w:szCs w:val="14"/>
                <w:b w:val="1"/>
                <w:bCs w:val="1"/>
                <w:color w:val="FFFFFF"/>
              </w:rPr>
              <w:t>Three Months Ended</w:t>
            </w:r>
          </w:p>
        </w:tc>
        <w:tc>
          <w:tcPr>
            <w:tcW w:w="580" w:type="dxa"/>
            <w:vAlign w:val="bottom"/>
            <w:shd w:val="clear" w:color="auto" w:fill="232F84"/>
          </w:tcPr>
          <w:p>
            <w:pPr>
              <w:spacing w:after="0"/>
              <w:rPr>
                <w:sz w:val="15"/>
                <w:szCs w:val="15"/>
                <w:color w:val="auto"/>
              </w:rPr>
            </w:pPr>
          </w:p>
        </w:tc>
        <w:tc>
          <w:tcPr>
            <w:tcW w:w="860" w:type="dxa"/>
            <w:vAlign w:val="bottom"/>
            <w:shd w:val="clear" w:color="auto" w:fill="232F84"/>
          </w:tcPr>
          <w:p>
            <w:pPr>
              <w:spacing w:after="0"/>
              <w:rPr>
                <w:sz w:val="15"/>
                <w:szCs w:val="15"/>
                <w:color w:val="auto"/>
              </w:rPr>
            </w:pPr>
          </w:p>
        </w:tc>
        <w:tc>
          <w:tcPr>
            <w:tcW w:w="120" w:type="dxa"/>
            <w:vAlign w:val="bottom"/>
            <w:shd w:val="clear" w:color="auto" w:fill="232F84"/>
          </w:tcPr>
          <w:p>
            <w:pPr>
              <w:spacing w:after="0"/>
              <w:rPr>
                <w:sz w:val="15"/>
                <w:szCs w:val="15"/>
                <w:color w:val="auto"/>
              </w:rPr>
            </w:pPr>
          </w:p>
        </w:tc>
        <w:tc>
          <w:tcPr>
            <w:tcW w:w="1540" w:type="dxa"/>
            <w:vAlign w:val="bottom"/>
            <w:gridSpan w:val="3"/>
            <w:shd w:val="clear" w:color="auto" w:fill="232F84"/>
          </w:tcPr>
          <w:p>
            <w:pPr>
              <w:jc w:val="center"/>
              <w:ind w:right="188"/>
              <w:spacing w:after="0"/>
              <w:rPr>
                <w:sz w:val="20"/>
                <w:szCs w:val="20"/>
                <w:color w:val="auto"/>
              </w:rPr>
            </w:pPr>
            <w:r>
              <w:rPr>
                <w:rFonts w:ascii="Arial" w:cs="Arial" w:eastAsia="Arial" w:hAnsi="Arial"/>
                <w:sz w:val="14"/>
                <w:szCs w:val="14"/>
                <w:b w:val="1"/>
                <w:bCs w:val="1"/>
                <w:color w:val="FFFFFF"/>
              </w:rPr>
              <w:t>Six Months Ended</w:t>
            </w:r>
          </w:p>
        </w:tc>
        <w:tc>
          <w:tcPr>
            <w:tcW w:w="720" w:type="dxa"/>
            <w:vAlign w:val="bottom"/>
            <w:shd w:val="clear" w:color="auto" w:fill="232F84"/>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40" w:type="dxa"/>
            <w:vAlign w:val="bottom"/>
            <w:shd w:val="clear" w:color="auto" w:fill="232F84"/>
          </w:tcPr>
          <w:p>
            <w:pPr>
              <w:spacing w:after="0"/>
              <w:rPr>
                <w:sz w:val="17"/>
                <w:szCs w:val="17"/>
                <w:color w:val="auto"/>
              </w:rPr>
            </w:pPr>
          </w:p>
        </w:tc>
        <w:tc>
          <w:tcPr>
            <w:tcW w:w="220" w:type="dxa"/>
            <w:vAlign w:val="bottom"/>
            <w:shd w:val="clear" w:color="auto" w:fill="232F84"/>
          </w:tcPr>
          <w:p>
            <w:pPr>
              <w:spacing w:after="0"/>
              <w:rPr>
                <w:sz w:val="17"/>
                <w:szCs w:val="17"/>
                <w:color w:val="auto"/>
              </w:rPr>
            </w:pPr>
          </w:p>
        </w:tc>
        <w:tc>
          <w:tcPr>
            <w:tcW w:w="980" w:type="dxa"/>
            <w:vAlign w:val="bottom"/>
            <w:shd w:val="clear" w:color="auto" w:fill="232F84"/>
          </w:tcPr>
          <w:p>
            <w:pPr>
              <w:spacing w:after="0"/>
              <w:rPr>
                <w:sz w:val="17"/>
                <w:szCs w:val="17"/>
                <w:color w:val="auto"/>
              </w:rPr>
            </w:pPr>
          </w:p>
        </w:tc>
        <w:tc>
          <w:tcPr>
            <w:tcW w:w="160" w:type="dxa"/>
            <w:vAlign w:val="bottom"/>
            <w:shd w:val="clear" w:color="auto" w:fill="232F84"/>
          </w:tcPr>
          <w:p>
            <w:pPr>
              <w:spacing w:after="0"/>
              <w:rPr>
                <w:sz w:val="17"/>
                <w:szCs w:val="17"/>
                <w:color w:val="auto"/>
              </w:rPr>
            </w:pPr>
          </w:p>
        </w:tc>
        <w:tc>
          <w:tcPr>
            <w:tcW w:w="2220" w:type="dxa"/>
            <w:vAlign w:val="bottom"/>
            <w:gridSpan w:val="3"/>
            <w:shd w:val="clear" w:color="auto" w:fill="232F84"/>
          </w:tcPr>
          <w:p>
            <w:pPr>
              <w:jc w:val="center"/>
              <w:ind w:right="28"/>
              <w:spacing w:after="0"/>
              <w:rPr>
                <w:sz w:val="20"/>
                <w:szCs w:val="20"/>
                <w:color w:val="auto"/>
              </w:rPr>
            </w:pPr>
            <w:r>
              <w:rPr>
                <w:rFonts w:ascii="Arial" w:cs="Arial" w:eastAsia="Arial" w:hAnsi="Arial"/>
                <w:sz w:val="14"/>
                <w:szCs w:val="14"/>
                <w:b w:val="1"/>
                <w:bCs w:val="1"/>
                <w:color w:val="FFFFFF"/>
              </w:rPr>
              <w:t>April 30,</w:t>
            </w:r>
          </w:p>
        </w:tc>
        <w:tc>
          <w:tcPr>
            <w:tcW w:w="580" w:type="dxa"/>
            <w:vAlign w:val="bottom"/>
            <w:shd w:val="clear" w:color="auto" w:fill="232F84"/>
          </w:tcPr>
          <w:p>
            <w:pPr>
              <w:spacing w:after="0"/>
              <w:rPr>
                <w:sz w:val="17"/>
                <w:szCs w:val="17"/>
                <w:color w:val="auto"/>
              </w:rPr>
            </w:pPr>
          </w:p>
        </w:tc>
        <w:tc>
          <w:tcPr>
            <w:tcW w:w="860" w:type="dxa"/>
            <w:vAlign w:val="bottom"/>
            <w:shd w:val="clear" w:color="auto" w:fill="232F84"/>
          </w:tcPr>
          <w:p>
            <w:pPr>
              <w:spacing w:after="0"/>
              <w:rPr>
                <w:sz w:val="17"/>
                <w:szCs w:val="17"/>
                <w:color w:val="auto"/>
              </w:rPr>
            </w:pPr>
          </w:p>
        </w:tc>
        <w:tc>
          <w:tcPr>
            <w:tcW w:w="120" w:type="dxa"/>
            <w:vAlign w:val="bottom"/>
            <w:shd w:val="clear" w:color="auto" w:fill="232F84"/>
          </w:tcPr>
          <w:p>
            <w:pPr>
              <w:spacing w:after="0"/>
              <w:rPr>
                <w:sz w:val="17"/>
                <w:szCs w:val="17"/>
                <w:color w:val="auto"/>
              </w:rPr>
            </w:pPr>
          </w:p>
        </w:tc>
        <w:tc>
          <w:tcPr>
            <w:tcW w:w="1080" w:type="dxa"/>
            <w:vAlign w:val="bottom"/>
            <w:gridSpan w:val="2"/>
            <w:shd w:val="clear" w:color="auto" w:fill="232F84"/>
          </w:tcPr>
          <w:p>
            <w:pPr>
              <w:jc w:val="center"/>
              <w:ind w:left="128"/>
              <w:spacing w:after="0"/>
              <w:rPr>
                <w:sz w:val="20"/>
                <w:szCs w:val="20"/>
                <w:color w:val="auto"/>
              </w:rPr>
            </w:pPr>
            <w:r>
              <w:rPr>
                <w:rFonts w:ascii="Arial" w:cs="Arial" w:eastAsia="Arial" w:hAnsi="Arial"/>
                <w:sz w:val="14"/>
                <w:szCs w:val="14"/>
                <w:b w:val="1"/>
                <w:bCs w:val="1"/>
                <w:color w:val="FFFFFF"/>
              </w:rPr>
              <w:t>April 30,</w:t>
            </w:r>
          </w:p>
        </w:tc>
        <w:tc>
          <w:tcPr>
            <w:tcW w:w="460" w:type="dxa"/>
            <w:vAlign w:val="bottom"/>
            <w:shd w:val="clear" w:color="auto" w:fill="232F84"/>
          </w:tcPr>
          <w:p>
            <w:pPr>
              <w:spacing w:after="0"/>
              <w:rPr>
                <w:sz w:val="17"/>
                <w:szCs w:val="17"/>
                <w:color w:val="auto"/>
              </w:rPr>
            </w:pPr>
          </w:p>
        </w:tc>
        <w:tc>
          <w:tcPr>
            <w:tcW w:w="720" w:type="dxa"/>
            <w:vAlign w:val="bottom"/>
            <w:shd w:val="clear" w:color="auto" w:fill="232F84"/>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8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220" w:type="dxa"/>
            <w:vAlign w:val="bottom"/>
            <w:shd w:val="clear" w:color="auto" w:fill="232F84"/>
          </w:tcPr>
          <w:p>
            <w:pPr>
              <w:spacing w:after="0"/>
              <w:rPr>
                <w:sz w:val="19"/>
                <w:szCs w:val="19"/>
                <w:color w:val="auto"/>
              </w:rPr>
            </w:pPr>
          </w:p>
        </w:tc>
        <w:tc>
          <w:tcPr>
            <w:tcW w:w="980" w:type="dxa"/>
            <w:vAlign w:val="bottom"/>
            <w:shd w:val="clear" w:color="auto" w:fill="232F84"/>
          </w:tcPr>
          <w:p>
            <w:pPr>
              <w:spacing w:after="0"/>
              <w:rPr>
                <w:sz w:val="19"/>
                <w:szCs w:val="19"/>
                <w:color w:val="auto"/>
              </w:rPr>
            </w:pPr>
          </w:p>
        </w:tc>
        <w:tc>
          <w:tcPr>
            <w:tcW w:w="160" w:type="dxa"/>
            <w:vAlign w:val="bottom"/>
            <w:shd w:val="clear" w:color="auto" w:fill="232F84"/>
          </w:tcPr>
          <w:p>
            <w:pPr>
              <w:spacing w:after="0"/>
              <w:rPr>
                <w:sz w:val="19"/>
                <w:szCs w:val="19"/>
                <w:color w:val="auto"/>
              </w:rPr>
            </w:pPr>
          </w:p>
        </w:tc>
        <w:tc>
          <w:tcPr>
            <w:tcW w:w="1020" w:type="dxa"/>
            <w:vAlign w:val="bottom"/>
            <w:shd w:val="clear" w:color="auto" w:fill="232F84"/>
          </w:tcPr>
          <w:p>
            <w:pPr>
              <w:jc w:val="right"/>
              <w:ind w:right="548"/>
              <w:spacing w:after="0"/>
              <w:rPr>
                <w:sz w:val="20"/>
                <w:szCs w:val="20"/>
                <w:color w:val="auto"/>
              </w:rPr>
            </w:pPr>
            <w:r>
              <w:rPr>
                <w:rFonts w:ascii="Arial" w:cs="Arial" w:eastAsia="Arial" w:hAnsi="Arial"/>
                <w:sz w:val="14"/>
                <w:szCs w:val="14"/>
                <w:b w:val="1"/>
                <w:bCs w:val="1"/>
                <w:color w:val="FFFFFF"/>
              </w:rPr>
              <w:t>2021</w:t>
            </w:r>
          </w:p>
        </w:tc>
        <w:tc>
          <w:tcPr>
            <w:tcW w:w="240" w:type="dxa"/>
            <w:vAlign w:val="bottom"/>
            <w:shd w:val="clear" w:color="auto" w:fill="232F84"/>
          </w:tcPr>
          <w:p>
            <w:pPr>
              <w:spacing w:after="0"/>
              <w:rPr>
                <w:sz w:val="19"/>
                <w:szCs w:val="19"/>
                <w:color w:val="auto"/>
              </w:rPr>
            </w:pPr>
          </w:p>
        </w:tc>
        <w:tc>
          <w:tcPr>
            <w:tcW w:w="960" w:type="dxa"/>
            <w:vAlign w:val="bottom"/>
            <w:shd w:val="clear" w:color="auto" w:fill="232F84"/>
          </w:tcPr>
          <w:p>
            <w:pPr>
              <w:jc w:val="right"/>
              <w:ind w:right="108"/>
              <w:spacing w:after="0"/>
              <w:rPr>
                <w:sz w:val="20"/>
                <w:szCs w:val="20"/>
                <w:color w:val="auto"/>
              </w:rPr>
            </w:pPr>
            <w:r>
              <w:rPr>
                <w:rFonts w:ascii="Arial" w:cs="Arial" w:eastAsia="Arial" w:hAnsi="Arial"/>
                <w:sz w:val="14"/>
                <w:szCs w:val="14"/>
                <w:b w:val="1"/>
                <w:bCs w:val="1"/>
                <w:color w:val="FFFFFF"/>
              </w:rPr>
              <w:t>2020</w:t>
            </w:r>
          </w:p>
        </w:tc>
        <w:tc>
          <w:tcPr>
            <w:tcW w:w="580" w:type="dxa"/>
            <w:vAlign w:val="bottom"/>
            <w:shd w:val="clear" w:color="auto" w:fill="232F84"/>
          </w:tcPr>
          <w:p>
            <w:pPr>
              <w:spacing w:after="0"/>
              <w:rPr>
                <w:sz w:val="19"/>
                <w:szCs w:val="19"/>
                <w:color w:val="auto"/>
              </w:rPr>
            </w:pPr>
          </w:p>
        </w:tc>
        <w:tc>
          <w:tcPr>
            <w:tcW w:w="860" w:type="dxa"/>
            <w:vAlign w:val="bottom"/>
            <w:shd w:val="clear" w:color="auto" w:fill="232F84"/>
          </w:tcPr>
          <w:p>
            <w:pPr>
              <w:spacing w:after="0"/>
              <w:rPr>
                <w:sz w:val="19"/>
                <w:szCs w:val="19"/>
                <w:color w:val="auto"/>
              </w:rPr>
            </w:pPr>
          </w:p>
        </w:tc>
        <w:tc>
          <w:tcPr>
            <w:tcW w:w="120" w:type="dxa"/>
            <w:vAlign w:val="bottom"/>
            <w:shd w:val="clear" w:color="auto" w:fill="232F84"/>
          </w:tcPr>
          <w:p>
            <w:pPr>
              <w:spacing w:after="0"/>
              <w:rPr>
                <w:sz w:val="19"/>
                <w:szCs w:val="19"/>
                <w:color w:val="auto"/>
              </w:rPr>
            </w:pPr>
          </w:p>
        </w:tc>
        <w:tc>
          <w:tcPr>
            <w:tcW w:w="660" w:type="dxa"/>
            <w:vAlign w:val="bottom"/>
            <w:shd w:val="clear" w:color="auto" w:fill="232F84"/>
          </w:tcPr>
          <w:p>
            <w:pPr>
              <w:jc w:val="right"/>
              <w:ind w:right="108"/>
              <w:spacing w:after="0"/>
              <w:rPr>
                <w:sz w:val="20"/>
                <w:szCs w:val="20"/>
                <w:color w:val="auto"/>
              </w:rPr>
            </w:pPr>
            <w:r>
              <w:rPr>
                <w:rFonts w:ascii="Arial" w:cs="Arial" w:eastAsia="Arial" w:hAnsi="Arial"/>
                <w:sz w:val="14"/>
                <w:szCs w:val="14"/>
                <w:b w:val="1"/>
                <w:bCs w:val="1"/>
                <w:color w:val="FFFFFF"/>
              </w:rPr>
              <w:t>2021</w:t>
            </w:r>
          </w:p>
        </w:tc>
        <w:tc>
          <w:tcPr>
            <w:tcW w:w="420" w:type="dxa"/>
            <w:vAlign w:val="bottom"/>
            <w:shd w:val="clear" w:color="auto" w:fill="232F84"/>
          </w:tcPr>
          <w:p>
            <w:pPr>
              <w:spacing w:after="0"/>
              <w:rPr>
                <w:sz w:val="19"/>
                <w:szCs w:val="19"/>
                <w:color w:val="auto"/>
              </w:rPr>
            </w:pPr>
          </w:p>
        </w:tc>
        <w:tc>
          <w:tcPr>
            <w:tcW w:w="460" w:type="dxa"/>
            <w:vAlign w:val="bottom"/>
            <w:shd w:val="clear" w:color="auto" w:fill="232F84"/>
          </w:tcPr>
          <w:p>
            <w:pPr>
              <w:spacing w:after="0"/>
              <w:rPr>
                <w:sz w:val="19"/>
                <w:szCs w:val="19"/>
                <w:color w:val="auto"/>
              </w:rPr>
            </w:pPr>
          </w:p>
        </w:tc>
        <w:tc>
          <w:tcPr>
            <w:tcW w:w="72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16"/>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Marketing &amp; Distribution adjusted EBITDA</w:t>
            </w:r>
          </w:p>
        </w:tc>
        <w:tc>
          <w:tcPr>
            <w:tcW w:w="220" w:type="dxa"/>
            <w:vAlign w:val="bottom"/>
            <w:shd w:val="clear" w:color="auto" w:fill="43C0B9"/>
          </w:tcPr>
          <w:p>
            <w:pPr>
              <w:spacing w:after="0"/>
              <w:rPr>
                <w:sz w:val="18"/>
                <w:szCs w:val="18"/>
                <w:color w:val="auto"/>
              </w:rPr>
            </w:pPr>
          </w:p>
        </w:tc>
        <w:tc>
          <w:tcPr>
            <w:tcW w:w="980" w:type="dxa"/>
            <w:vAlign w:val="bottom"/>
            <w:shd w:val="clear" w:color="auto" w:fill="43C0B9"/>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shd w:val="clear" w:color="auto" w:fill="43C0B9"/>
          </w:tcPr>
          <w:p>
            <w:pPr>
              <w:spacing w:after="0"/>
              <w:rPr>
                <w:sz w:val="18"/>
                <w:szCs w:val="18"/>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16.2</w:t>
            </w:r>
          </w:p>
        </w:tc>
        <w:tc>
          <w:tcPr>
            <w:tcW w:w="2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spacing w:after="0"/>
              <w:rPr>
                <w:sz w:val="18"/>
                <w:szCs w:val="18"/>
                <w:color w:val="auto"/>
              </w:rPr>
            </w:pPr>
          </w:p>
        </w:tc>
        <w:tc>
          <w:tcPr>
            <w:tcW w:w="5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17.6</w:t>
            </w:r>
          </w:p>
        </w:tc>
        <w:tc>
          <w:tcPr>
            <w:tcW w:w="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43C0B9"/>
          </w:tcPr>
          <w:p>
            <w:pPr>
              <w:spacing w:after="0"/>
              <w:rPr>
                <w:sz w:val="18"/>
                <w:szCs w:val="18"/>
                <w:color w:val="auto"/>
              </w:rPr>
            </w:pPr>
          </w:p>
        </w:tc>
        <w:tc>
          <w:tcPr>
            <w:tcW w:w="66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29.9</w:t>
            </w:r>
          </w:p>
        </w:tc>
        <w:tc>
          <w:tcPr>
            <w:tcW w:w="420" w:type="dxa"/>
            <w:vAlign w:val="bottom"/>
            <w:shd w:val="clear" w:color="auto" w:fill="43C0B9"/>
          </w:tcPr>
          <w:p>
            <w:pPr>
              <w:jc w:val="right"/>
              <w:ind w:right="228"/>
              <w:spacing w:after="0"/>
              <w:rPr>
                <w:sz w:val="20"/>
                <w:szCs w:val="20"/>
                <w:color w:val="auto"/>
              </w:rPr>
            </w:pPr>
            <w:r>
              <w:rPr>
                <w:rFonts w:ascii="Arial" w:cs="Arial" w:eastAsia="Arial" w:hAnsi="Arial"/>
                <w:sz w:val="14"/>
                <w:szCs w:val="14"/>
                <w:color w:val="auto"/>
              </w:rPr>
              <w:t>$</w:t>
            </w:r>
          </w:p>
        </w:tc>
        <w:tc>
          <w:tcPr>
            <w:tcW w:w="460" w:type="dxa"/>
            <w:vAlign w:val="bottom"/>
            <w:shd w:val="clear" w:color="auto" w:fill="43C0B9"/>
          </w:tcPr>
          <w:p>
            <w:pPr>
              <w:spacing w:after="0"/>
              <w:rPr>
                <w:sz w:val="18"/>
                <w:szCs w:val="18"/>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International Farming adjusted EBITDA</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220" w:type="dxa"/>
            <w:vAlign w:val="bottom"/>
            <w:tcBorders>
              <w:bottom w:val="single" w:sz="8" w:color="auto"/>
            </w:tcBorders>
            <w:shd w:val="clear" w:color="auto" w:fill="43C0B9"/>
          </w:tcPr>
          <w:p>
            <w:pPr>
              <w:spacing w:after="0"/>
              <w:rPr>
                <w:sz w:val="18"/>
                <w:szCs w:val="18"/>
                <w:color w:val="auto"/>
              </w:rPr>
            </w:pPr>
          </w:p>
        </w:tc>
        <w:tc>
          <w:tcPr>
            <w:tcW w:w="980" w:type="dxa"/>
            <w:vAlign w:val="bottom"/>
            <w:tcBorders>
              <w:bottom w:val="single" w:sz="8" w:color="auto"/>
            </w:tcBorders>
            <w:shd w:val="clear" w:color="auto" w:fill="43C0B9"/>
          </w:tcPr>
          <w:p>
            <w:pPr>
              <w:spacing w:after="0"/>
              <w:rPr>
                <w:sz w:val="18"/>
                <w:szCs w:val="18"/>
                <w:color w:val="auto"/>
              </w:rPr>
            </w:pPr>
          </w:p>
        </w:tc>
        <w:tc>
          <w:tcPr>
            <w:tcW w:w="160" w:type="dxa"/>
            <w:vAlign w:val="bottom"/>
            <w:tcBorders>
              <w:bottom w:val="single" w:sz="8" w:color="auto"/>
            </w:tcBorders>
            <w:shd w:val="clear" w:color="auto" w:fill="43C0B9"/>
          </w:tcPr>
          <w:p>
            <w:pPr>
              <w:spacing w:after="0"/>
              <w:rPr>
                <w:sz w:val="18"/>
                <w:szCs w:val="18"/>
                <w:color w:val="auto"/>
              </w:rPr>
            </w:pPr>
          </w:p>
        </w:tc>
        <w:tc>
          <w:tcPr>
            <w:tcW w:w="10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16.3</w:t>
            </w:r>
          </w:p>
        </w:tc>
        <w:tc>
          <w:tcPr>
            <w:tcW w:w="240" w:type="dxa"/>
            <w:vAlign w:val="bottom"/>
            <w:tcBorders>
              <w:bottom w:val="single" w:sz="8" w:color="auto"/>
            </w:tcBorders>
            <w:shd w:val="clear" w:color="auto" w:fill="43C0B9"/>
          </w:tcPr>
          <w:p>
            <w:pPr>
              <w:spacing w:after="0"/>
              <w:rPr>
                <w:sz w:val="18"/>
                <w:szCs w:val="18"/>
                <w:color w:val="auto"/>
              </w:rPr>
            </w:pPr>
          </w:p>
        </w:tc>
        <w:tc>
          <w:tcPr>
            <w:tcW w:w="960" w:type="dxa"/>
            <w:vAlign w:val="bottom"/>
            <w:tcBorders>
              <w:bottom w:val="single" w:sz="8" w:color="auto"/>
            </w:tcBorders>
            <w:shd w:val="clear" w:color="auto" w:fill="43C0B9"/>
          </w:tcPr>
          <w:p>
            <w:pPr>
              <w:spacing w:after="0"/>
              <w:rPr>
                <w:sz w:val="18"/>
                <w:szCs w:val="18"/>
                <w:color w:val="auto"/>
              </w:rPr>
            </w:pPr>
          </w:p>
        </w:tc>
        <w:tc>
          <w:tcPr>
            <w:tcW w:w="580" w:type="dxa"/>
            <w:vAlign w:val="bottom"/>
            <w:tcBorders>
              <w:bottom w:val="single" w:sz="8" w:color="auto"/>
            </w:tcBorders>
            <w:shd w:val="clear" w:color="auto" w:fill="43C0B9"/>
          </w:tcPr>
          <w:p>
            <w:pPr>
              <w:jc w:val="right"/>
              <w:ind w:right="128"/>
              <w:spacing w:after="0"/>
              <w:rPr>
                <w:sz w:val="20"/>
                <w:szCs w:val="20"/>
                <w:color w:val="auto"/>
              </w:rPr>
            </w:pPr>
            <w:r>
              <w:rPr>
                <w:rFonts w:ascii="Arial" w:cs="Arial" w:eastAsia="Arial" w:hAnsi="Arial"/>
                <w:sz w:val="14"/>
                <w:szCs w:val="14"/>
                <w:color w:val="auto"/>
              </w:rPr>
              <w:t>14.4</w:t>
            </w:r>
          </w:p>
        </w:tc>
        <w:tc>
          <w:tcPr>
            <w:tcW w:w="860" w:type="dxa"/>
            <w:vAlign w:val="bottom"/>
            <w:tcBorders>
              <w:bottom w:val="single" w:sz="8" w:color="auto"/>
            </w:tcBorders>
            <w:shd w:val="clear" w:color="auto" w:fill="43C0B9"/>
          </w:tcPr>
          <w:p>
            <w:pPr>
              <w:spacing w:after="0"/>
              <w:rPr>
                <w:sz w:val="18"/>
                <w:szCs w:val="18"/>
                <w:color w:val="auto"/>
              </w:rPr>
            </w:pPr>
          </w:p>
        </w:tc>
        <w:tc>
          <w:tcPr>
            <w:tcW w:w="120" w:type="dxa"/>
            <w:vAlign w:val="bottom"/>
            <w:tcBorders>
              <w:bottom w:val="single" w:sz="8" w:color="auto"/>
            </w:tcBorders>
            <w:shd w:val="clear" w:color="auto" w:fill="43C0B9"/>
          </w:tcPr>
          <w:p>
            <w:pPr>
              <w:spacing w:after="0"/>
              <w:rPr>
                <w:sz w:val="18"/>
                <w:szCs w:val="18"/>
                <w:color w:val="auto"/>
              </w:rPr>
            </w:pPr>
          </w:p>
        </w:tc>
        <w:tc>
          <w:tcPr>
            <w:tcW w:w="66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28.8</w:t>
            </w:r>
          </w:p>
        </w:tc>
        <w:tc>
          <w:tcPr>
            <w:tcW w:w="420" w:type="dxa"/>
            <w:vAlign w:val="bottom"/>
            <w:tcBorders>
              <w:bottom w:val="single" w:sz="8" w:color="auto"/>
            </w:tcBorders>
            <w:shd w:val="clear" w:color="auto" w:fill="43C0B9"/>
          </w:tcPr>
          <w:p>
            <w:pPr>
              <w:spacing w:after="0"/>
              <w:rPr>
                <w:sz w:val="18"/>
                <w:szCs w:val="18"/>
                <w:color w:val="auto"/>
              </w:rPr>
            </w:pPr>
          </w:p>
        </w:tc>
        <w:tc>
          <w:tcPr>
            <w:tcW w:w="46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(14.8)</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22"/>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43C0B9"/>
          </w:tcPr>
          <w:p>
            <w:pPr>
              <w:spacing w:after="0"/>
              <w:rPr>
                <w:sz w:val="19"/>
                <w:szCs w:val="19"/>
                <w:color w:val="auto"/>
              </w:rPr>
            </w:pPr>
          </w:p>
        </w:tc>
        <w:tc>
          <w:tcPr>
            <w:tcW w:w="980" w:type="dxa"/>
            <w:vAlign w:val="bottom"/>
            <w:shd w:val="clear" w:color="auto" w:fill="43C0B9"/>
          </w:tcPr>
          <w:p>
            <w:pPr>
              <w:spacing w:after="0"/>
              <w:rPr>
                <w:sz w:val="19"/>
                <w:szCs w:val="19"/>
                <w:color w:val="auto"/>
              </w:rPr>
            </w:pPr>
          </w:p>
        </w:tc>
        <w:tc>
          <w:tcPr>
            <w:tcW w:w="160" w:type="dxa"/>
            <w:vAlign w:val="bottom"/>
            <w:shd w:val="clear" w:color="auto" w:fill="43C0B9"/>
          </w:tcPr>
          <w:p>
            <w:pPr>
              <w:spacing w:after="0"/>
              <w:rPr>
                <w:sz w:val="19"/>
                <w:szCs w:val="19"/>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0.8</w:t>
            </w:r>
          </w:p>
        </w:tc>
        <w:tc>
          <w:tcPr>
            <w:tcW w:w="240" w:type="dxa"/>
            <w:vAlign w:val="bottom"/>
            <w:shd w:val="clear" w:color="auto" w:fill="43C0B9"/>
          </w:tcPr>
          <w:p>
            <w:pPr>
              <w:spacing w:after="0"/>
              <w:rPr>
                <w:sz w:val="19"/>
                <w:szCs w:val="19"/>
                <w:color w:val="auto"/>
              </w:rPr>
            </w:pPr>
          </w:p>
        </w:tc>
        <w:tc>
          <w:tcPr>
            <w:tcW w:w="960" w:type="dxa"/>
            <w:vAlign w:val="bottom"/>
            <w:shd w:val="clear" w:color="auto" w:fill="43C0B9"/>
          </w:tcPr>
          <w:p>
            <w:pPr>
              <w:spacing w:after="0"/>
              <w:rPr>
                <w:sz w:val="19"/>
                <w:szCs w:val="19"/>
                <w:color w:val="auto"/>
              </w:rPr>
            </w:pPr>
          </w:p>
        </w:tc>
        <w:tc>
          <w:tcPr>
            <w:tcW w:w="5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2.3</w:t>
            </w:r>
          </w:p>
        </w:tc>
        <w:tc>
          <w:tcPr>
            <w:tcW w:w="860" w:type="dxa"/>
            <w:vAlign w:val="bottom"/>
            <w:shd w:val="clear" w:color="auto" w:fill="43C0B9"/>
          </w:tcPr>
          <w:p>
            <w:pPr>
              <w:spacing w:after="0"/>
              <w:rPr>
                <w:sz w:val="19"/>
                <w:szCs w:val="19"/>
                <w:color w:val="auto"/>
              </w:rPr>
            </w:pPr>
          </w:p>
        </w:tc>
        <w:tc>
          <w:tcPr>
            <w:tcW w:w="120" w:type="dxa"/>
            <w:vAlign w:val="bottom"/>
            <w:shd w:val="clear" w:color="auto" w:fill="43C0B9"/>
          </w:tcPr>
          <w:p>
            <w:pPr>
              <w:spacing w:after="0"/>
              <w:rPr>
                <w:sz w:val="19"/>
                <w:szCs w:val="19"/>
                <w:color w:val="auto"/>
              </w:rPr>
            </w:pPr>
          </w:p>
        </w:tc>
        <w:tc>
          <w:tcPr>
            <w:tcW w:w="66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1.7</w:t>
            </w:r>
          </w:p>
        </w:tc>
        <w:tc>
          <w:tcPr>
            <w:tcW w:w="420" w:type="dxa"/>
            <w:vAlign w:val="bottom"/>
            <w:shd w:val="clear" w:color="auto" w:fill="43C0B9"/>
          </w:tcPr>
          <w:p>
            <w:pPr>
              <w:spacing w:after="0"/>
              <w:rPr>
                <w:sz w:val="19"/>
                <w:szCs w:val="19"/>
                <w:color w:val="auto"/>
              </w:rPr>
            </w:pPr>
          </w:p>
        </w:tc>
        <w:tc>
          <w:tcPr>
            <w:tcW w:w="460" w:type="dxa"/>
            <w:vAlign w:val="bottom"/>
            <w:shd w:val="clear" w:color="auto" w:fill="43C0B9"/>
          </w:tcPr>
          <w:p>
            <w:pPr>
              <w:spacing w:after="0"/>
              <w:rPr>
                <w:sz w:val="19"/>
                <w:szCs w:val="19"/>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3.5</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22"/>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43C0B9"/>
          </w:tcPr>
          <w:p>
            <w:pPr>
              <w:spacing w:after="0"/>
              <w:rPr>
                <w:sz w:val="19"/>
                <w:szCs w:val="19"/>
                <w:color w:val="auto"/>
              </w:rPr>
            </w:pPr>
          </w:p>
        </w:tc>
        <w:tc>
          <w:tcPr>
            <w:tcW w:w="980" w:type="dxa"/>
            <w:vAlign w:val="bottom"/>
            <w:shd w:val="clear" w:color="auto" w:fill="43C0B9"/>
          </w:tcPr>
          <w:p>
            <w:pPr>
              <w:spacing w:after="0"/>
              <w:rPr>
                <w:sz w:val="19"/>
                <w:szCs w:val="19"/>
                <w:color w:val="auto"/>
              </w:rPr>
            </w:pPr>
          </w:p>
        </w:tc>
        <w:tc>
          <w:tcPr>
            <w:tcW w:w="160" w:type="dxa"/>
            <w:vAlign w:val="bottom"/>
            <w:shd w:val="clear" w:color="auto" w:fill="43C0B9"/>
          </w:tcPr>
          <w:p>
            <w:pPr>
              <w:spacing w:after="0"/>
              <w:rPr>
                <w:sz w:val="19"/>
                <w:szCs w:val="19"/>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4.0</w:t>
            </w:r>
          </w:p>
        </w:tc>
        <w:tc>
          <w:tcPr>
            <w:tcW w:w="240" w:type="dxa"/>
            <w:vAlign w:val="bottom"/>
            <w:shd w:val="clear" w:color="auto" w:fill="43C0B9"/>
          </w:tcPr>
          <w:p>
            <w:pPr>
              <w:spacing w:after="0"/>
              <w:rPr>
                <w:sz w:val="19"/>
                <w:szCs w:val="19"/>
                <w:color w:val="auto"/>
              </w:rPr>
            </w:pPr>
          </w:p>
        </w:tc>
        <w:tc>
          <w:tcPr>
            <w:tcW w:w="960" w:type="dxa"/>
            <w:vAlign w:val="bottom"/>
            <w:shd w:val="clear" w:color="auto" w:fill="43C0B9"/>
          </w:tcPr>
          <w:p>
            <w:pPr>
              <w:spacing w:after="0"/>
              <w:rPr>
                <w:sz w:val="19"/>
                <w:szCs w:val="19"/>
                <w:color w:val="auto"/>
              </w:rPr>
            </w:pPr>
          </w:p>
        </w:tc>
        <w:tc>
          <w:tcPr>
            <w:tcW w:w="5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3.7</w:t>
            </w:r>
          </w:p>
        </w:tc>
        <w:tc>
          <w:tcPr>
            <w:tcW w:w="860" w:type="dxa"/>
            <w:vAlign w:val="bottom"/>
            <w:shd w:val="clear" w:color="auto" w:fill="43C0B9"/>
          </w:tcPr>
          <w:p>
            <w:pPr>
              <w:spacing w:after="0"/>
              <w:rPr>
                <w:sz w:val="19"/>
                <w:szCs w:val="19"/>
                <w:color w:val="auto"/>
              </w:rPr>
            </w:pPr>
          </w:p>
        </w:tc>
        <w:tc>
          <w:tcPr>
            <w:tcW w:w="120" w:type="dxa"/>
            <w:vAlign w:val="bottom"/>
            <w:shd w:val="clear" w:color="auto" w:fill="43C0B9"/>
          </w:tcPr>
          <w:p>
            <w:pPr>
              <w:spacing w:after="0"/>
              <w:rPr>
                <w:sz w:val="19"/>
                <w:szCs w:val="19"/>
                <w:color w:val="auto"/>
              </w:rPr>
            </w:pPr>
          </w:p>
        </w:tc>
        <w:tc>
          <w:tcPr>
            <w:tcW w:w="66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7.6</w:t>
            </w:r>
          </w:p>
        </w:tc>
        <w:tc>
          <w:tcPr>
            <w:tcW w:w="420" w:type="dxa"/>
            <w:vAlign w:val="bottom"/>
            <w:shd w:val="clear" w:color="auto" w:fill="43C0B9"/>
          </w:tcPr>
          <w:p>
            <w:pPr>
              <w:spacing w:after="0"/>
              <w:rPr>
                <w:sz w:val="19"/>
                <w:szCs w:val="19"/>
                <w:color w:val="auto"/>
              </w:rPr>
            </w:pPr>
          </w:p>
        </w:tc>
        <w:tc>
          <w:tcPr>
            <w:tcW w:w="460" w:type="dxa"/>
            <w:vAlign w:val="bottom"/>
            <w:shd w:val="clear" w:color="auto" w:fill="43C0B9"/>
          </w:tcPr>
          <w:p>
            <w:pPr>
              <w:spacing w:after="0"/>
              <w:rPr>
                <w:sz w:val="19"/>
                <w:szCs w:val="19"/>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4"/>
                <w:szCs w:val="14"/>
                <w:color w:val="auto"/>
              </w:rPr>
              <w:t>Equity method loss (income)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22"/>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Impairment on equity method investment</w:t>
            </w:r>
          </w:p>
        </w:tc>
        <w:tc>
          <w:tcPr>
            <w:tcW w:w="220" w:type="dxa"/>
            <w:vAlign w:val="bottom"/>
            <w:shd w:val="clear" w:color="auto" w:fill="43C0B9"/>
          </w:tcPr>
          <w:p>
            <w:pPr>
              <w:spacing w:after="0"/>
              <w:rPr>
                <w:sz w:val="19"/>
                <w:szCs w:val="19"/>
                <w:color w:val="auto"/>
              </w:rPr>
            </w:pPr>
          </w:p>
        </w:tc>
        <w:tc>
          <w:tcPr>
            <w:tcW w:w="980" w:type="dxa"/>
            <w:vAlign w:val="bottom"/>
            <w:shd w:val="clear" w:color="auto" w:fill="43C0B9"/>
          </w:tcPr>
          <w:p>
            <w:pPr>
              <w:spacing w:after="0"/>
              <w:rPr>
                <w:sz w:val="19"/>
                <w:szCs w:val="19"/>
                <w:color w:val="auto"/>
              </w:rPr>
            </w:pPr>
          </w:p>
        </w:tc>
        <w:tc>
          <w:tcPr>
            <w:tcW w:w="160" w:type="dxa"/>
            <w:vAlign w:val="bottom"/>
            <w:shd w:val="clear" w:color="auto" w:fill="43C0B9"/>
          </w:tcPr>
          <w:p>
            <w:pPr>
              <w:spacing w:after="0"/>
              <w:rPr>
                <w:sz w:val="19"/>
                <w:szCs w:val="19"/>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43C0B9"/>
          </w:tcPr>
          <w:p>
            <w:pPr>
              <w:spacing w:after="0"/>
              <w:rPr>
                <w:sz w:val="19"/>
                <w:szCs w:val="19"/>
                <w:color w:val="auto"/>
              </w:rPr>
            </w:pPr>
          </w:p>
        </w:tc>
        <w:tc>
          <w:tcPr>
            <w:tcW w:w="960" w:type="dxa"/>
            <w:vAlign w:val="bottom"/>
            <w:shd w:val="clear" w:color="auto" w:fill="43C0B9"/>
          </w:tcPr>
          <w:p>
            <w:pPr>
              <w:spacing w:after="0"/>
              <w:rPr>
                <w:sz w:val="19"/>
                <w:szCs w:val="19"/>
                <w:color w:val="auto"/>
              </w:rPr>
            </w:pPr>
          </w:p>
        </w:tc>
        <w:tc>
          <w:tcPr>
            <w:tcW w:w="5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21.2</w:t>
            </w:r>
          </w:p>
        </w:tc>
        <w:tc>
          <w:tcPr>
            <w:tcW w:w="860" w:type="dxa"/>
            <w:vAlign w:val="bottom"/>
            <w:shd w:val="clear" w:color="auto" w:fill="43C0B9"/>
          </w:tcPr>
          <w:p>
            <w:pPr>
              <w:spacing w:after="0"/>
              <w:rPr>
                <w:sz w:val="19"/>
                <w:szCs w:val="19"/>
                <w:color w:val="auto"/>
              </w:rPr>
            </w:pPr>
          </w:p>
        </w:tc>
        <w:tc>
          <w:tcPr>
            <w:tcW w:w="120" w:type="dxa"/>
            <w:vAlign w:val="bottom"/>
            <w:shd w:val="clear" w:color="auto" w:fill="43C0B9"/>
          </w:tcPr>
          <w:p>
            <w:pPr>
              <w:spacing w:after="0"/>
              <w:rPr>
                <w:sz w:val="19"/>
                <w:szCs w:val="19"/>
                <w:color w:val="auto"/>
              </w:rPr>
            </w:pPr>
          </w:p>
        </w:tc>
        <w:tc>
          <w:tcPr>
            <w:tcW w:w="66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43C0B9"/>
          </w:tcPr>
          <w:p>
            <w:pPr>
              <w:spacing w:after="0"/>
              <w:rPr>
                <w:sz w:val="19"/>
                <w:szCs w:val="19"/>
                <w:color w:val="auto"/>
              </w:rPr>
            </w:pPr>
          </w:p>
        </w:tc>
        <w:tc>
          <w:tcPr>
            <w:tcW w:w="460" w:type="dxa"/>
            <w:vAlign w:val="bottom"/>
            <w:shd w:val="clear" w:color="auto" w:fill="43C0B9"/>
          </w:tcPr>
          <w:p>
            <w:pPr>
              <w:spacing w:after="0"/>
              <w:rPr>
                <w:sz w:val="19"/>
                <w:szCs w:val="19"/>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4"/>
                <w:szCs w:val="14"/>
                <w:color w:val="auto"/>
              </w:rPr>
              <w:t>Legal settlement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Other expense (income), net</w:t>
            </w:r>
          </w:p>
        </w:tc>
        <w:tc>
          <w:tcPr>
            <w:tcW w:w="220" w:type="dxa"/>
            <w:vAlign w:val="bottom"/>
            <w:shd w:val="clear" w:color="auto" w:fill="43C0B9"/>
          </w:tcPr>
          <w:p>
            <w:pPr>
              <w:spacing w:after="0"/>
              <w:rPr>
                <w:sz w:val="19"/>
                <w:szCs w:val="19"/>
                <w:color w:val="auto"/>
              </w:rPr>
            </w:pPr>
          </w:p>
        </w:tc>
        <w:tc>
          <w:tcPr>
            <w:tcW w:w="980" w:type="dxa"/>
            <w:vAlign w:val="bottom"/>
            <w:shd w:val="clear" w:color="auto" w:fill="43C0B9"/>
          </w:tcPr>
          <w:p>
            <w:pPr>
              <w:spacing w:after="0"/>
              <w:rPr>
                <w:sz w:val="19"/>
                <w:szCs w:val="19"/>
                <w:color w:val="auto"/>
              </w:rPr>
            </w:pPr>
          </w:p>
        </w:tc>
        <w:tc>
          <w:tcPr>
            <w:tcW w:w="160" w:type="dxa"/>
            <w:vAlign w:val="bottom"/>
            <w:shd w:val="clear" w:color="auto" w:fill="43C0B9"/>
          </w:tcPr>
          <w:p>
            <w:pPr>
              <w:spacing w:after="0"/>
              <w:rPr>
                <w:sz w:val="19"/>
                <w:szCs w:val="19"/>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0.3</w:t>
            </w:r>
          </w:p>
        </w:tc>
        <w:tc>
          <w:tcPr>
            <w:tcW w:w="240" w:type="dxa"/>
            <w:vAlign w:val="bottom"/>
            <w:shd w:val="clear" w:color="auto" w:fill="43C0B9"/>
          </w:tcPr>
          <w:p>
            <w:pPr>
              <w:spacing w:after="0"/>
              <w:rPr>
                <w:sz w:val="19"/>
                <w:szCs w:val="19"/>
                <w:color w:val="auto"/>
              </w:rPr>
            </w:pPr>
          </w:p>
        </w:tc>
        <w:tc>
          <w:tcPr>
            <w:tcW w:w="960" w:type="dxa"/>
            <w:vAlign w:val="bottom"/>
            <w:shd w:val="clear" w:color="auto" w:fill="43C0B9"/>
          </w:tcPr>
          <w:p>
            <w:pPr>
              <w:spacing w:after="0"/>
              <w:rPr>
                <w:sz w:val="19"/>
                <w:szCs w:val="19"/>
                <w:color w:val="auto"/>
              </w:rPr>
            </w:pPr>
          </w:p>
        </w:tc>
        <w:tc>
          <w:tcPr>
            <w:tcW w:w="58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(1.4)</w:t>
            </w:r>
          </w:p>
        </w:tc>
        <w:tc>
          <w:tcPr>
            <w:tcW w:w="860" w:type="dxa"/>
            <w:vAlign w:val="bottom"/>
            <w:shd w:val="clear" w:color="auto" w:fill="43C0B9"/>
          </w:tcPr>
          <w:p>
            <w:pPr>
              <w:spacing w:after="0"/>
              <w:rPr>
                <w:sz w:val="19"/>
                <w:szCs w:val="19"/>
                <w:color w:val="auto"/>
              </w:rPr>
            </w:pPr>
          </w:p>
        </w:tc>
        <w:tc>
          <w:tcPr>
            <w:tcW w:w="120" w:type="dxa"/>
            <w:vAlign w:val="bottom"/>
            <w:shd w:val="clear" w:color="auto" w:fill="43C0B9"/>
          </w:tcPr>
          <w:p>
            <w:pPr>
              <w:spacing w:after="0"/>
              <w:rPr>
                <w:sz w:val="19"/>
                <w:szCs w:val="19"/>
                <w:color w:val="auto"/>
              </w:rPr>
            </w:pPr>
          </w:p>
        </w:tc>
        <w:tc>
          <w:tcPr>
            <w:tcW w:w="66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0.3</w:t>
            </w:r>
          </w:p>
        </w:tc>
        <w:tc>
          <w:tcPr>
            <w:tcW w:w="420" w:type="dxa"/>
            <w:vAlign w:val="bottom"/>
            <w:shd w:val="clear" w:color="auto" w:fill="43C0B9"/>
          </w:tcPr>
          <w:p>
            <w:pPr>
              <w:spacing w:after="0"/>
              <w:rPr>
                <w:sz w:val="19"/>
                <w:szCs w:val="19"/>
                <w:color w:val="auto"/>
              </w:rPr>
            </w:pPr>
          </w:p>
        </w:tc>
        <w:tc>
          <w:tcPr>
            <w:tcW w:w="460" w:type="dxa"/>
            <w:vAlign w:val="bottom"/>
            <w:shd w:val="clear" w:color="auto" w:fill="43C0B9"/>
          </w:tcPr>
          <w:p>
            <w:pPr>
              <w:spacing w:after="0"/>
              <w:rPr>
                <w:sz w:val="19"/>
                <w:szCs w:val="19"/>
                <w:color w:val="auto"/>
              </w:rPr>
            </w:pPr>
          </w:p>
        </w:tc>
        <w:tc>
          <w:tcPr>
            <w:tcW w:w="7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0.3</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adjusted EBITDA</w:t>
            </w:r>
          </w:p>
        </w:tc>
        <w:tc>
          <w:tcPr>
            <w:tcW w:w="220" w:type="dxa"/>
            <w:vAlign w:val="bottom"/>
            <w:tcBorders>
              <w:bottom w:val="single" w:sz="8" w:color="auto"/>
            </w:tcBorders>
            <w:shd w:val="clear" w:color="auto" w:fill="43C0B9"/>
          </w:tcPr>
          <w:p>
            <w:pPr>
              <w:spacing w:after="0"/>
              <w:rPr>
                <w:sz w:val="18"/>
                <w:szCs w:val="18"/>
                <w:color w:val="auto"/>
              </w:rPr>
            </w:pPr>
          </w:p>
        </w:tc>
        <w:tc>
          <w:tcPr>
            <w:tcW w:w="980" w:type="dxa"/>
            <w:vAlign w:val="bottom"/>
            <w:tcBorders>
              <w:bottom w:val="single" w:sz="8" w:color="auto"/>
            </w:tcBorders>
            <w:shd w:val="clear" w:color="auto" w:fill="43C0B9"/>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43C0B9"/>
          </w:tcPr>
          <w:p>
            <w:pPr>
              <w:spacing w:after="0"/>
              <w:rPr>
                <w:sz w:val="18"/>
                <w:szCs w:val="18"/>
                <w:color w:val="auto"/>
              </w:rPr>
            </w:pPr>
          </w:p>
        </w:tc>
        <w:tc>
          <w:tcPr>
            <w:tcW w:w="10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16.3</w:t>
            </w:r>
          </w:p>
        </w:tc>
        <w:tc>
          <w:tcPr>
            <w:tcW w:w="2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43C0B9"/>
          </w:tcPr>
          <w:p>
            <w:pPr>
              <w:spacing w:after="0"/>
              <w:rPr>
                <w:sz w:val="18"/>
                <w:szCs w:val="18"/>
                <w:color w:val="auto"/>
              </w:rPr>
            </w:pPr>
          </w:p>
        </w:tc>
        <w:tc>
          <w:tcPr>
            <w:tcW w:w="580" w:type="dxa"/>
            <w:vAlign w:val="bottom"/>
            <w:tcBorders>
              <w:bottom w:val="single" w:sz="8" w:color="auto"/>
            </w:tcBorders>
            <w:shd w:val="clear" w:color="auto" w:fill="43C0B9"/>
          </w:tcPr>
          <w:p>
            <w:pPr>
              <w:jc w:val="right"/>
              <w:ind w:right="128"/>
              <w:spacing w:after="0"/>
              <w:rPr>
                <w:sz w:val="20"/>
                <w:szCs w:val="20"/>
                <w:color w:val="auto"/>
              </w:rPr>
            </w:pPr>
            <w:r>
              <w:rPr>
                <w:rFonts w:ascii="Arial" w:cs="Arial" w:eastAsia="Arial" w:hAnsi="Arial"/>
                <w:sz w:val="14"/>
                <w:szCs w:val="14"/>
                <w:color w:val="auto"/>
              </w:rPr>
              <w:t>14.4</w:t>
            </w:r>
          </w:p>
        </w:tc>
        <w:tc>
          <w:tcPr>
            <w:tcW w:w="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43C0B9"/>
          </w:tcPr>
          <w:p>
            <w:pPr>
              <w:spacing w:after="0"/>
              <w:rPr>
                <w:sz w:val="18"/>
                <w:szCs w:val="18"/>
                <w:color w:val="auto"/>
              </w:rPr>
            </w:pPr>
          </w:p>
        </w:tc>
        <w:tc>
          <w:tcPr>
            <w:tcW w:w="66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28.8</w:t>
            </w:r>
          </w:p>
        </w:tc>
        <w:tc>
          <w:tcPr>
            <w:tcW w:w="420" w:type="dxa"/>
            <w:vAlign w:val="bottom"/>
            <w:tcBorders>
              <w:bottom w:val="single" w:sz="8" w:color="auto"/>
            </w:tcBorders>
            <w:shd w:val="clear" w:color="auto" w:fill="43C0B9"/>
          </w:tcPr>
          <w:p>
            <w:pPr>
              <w:jc w:val="right"/>
              <w:ind w:right="2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43C0B9"/>
          </w:tcPr>
          <w:p>
            <w:pPr>
              <w:spacing w:after="0"/>
              <w:rPr>
                <w:sz w:val="18"/>
                <w:szCs w:val="18"/>
                <w:color w:val="auto"/>
              </w:rPr>
            </w:pP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Marketing and Distribution</w:t>
      </w:r>
    </w:p>
    <w:p>
      <w:pPr>
        <w:spacing w:after="0" w:line="237"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Net sales in our Marketing and Distribution segment increased $12.9 million or 6% in the three months ended April 30, 2021 compared to the same period last year primarily due to a 22% increase in avocado volume sold, partially offset by a 14% decrease in average per-unit avocado sales prices. Volume increases and average price decreases were driven by strong industry supply from Mexico in the three months ended April 30, 2021. In addition, volume during the three months ended April 30, 2020 was negatively impacted by COVID-19 related stay at-home orders that went into effect in March 2020.</w:t>
      </w:r>
    </w:p>
    <w:p>
      <w:pPr>
        <w:spacing w:after="0" w:line="202" w:lineRule="exact"/>
        <w:rPr>
          <w:sz w:val="20"/>
          <w:szCs w:val="20"/>
          <w:color w:val="auto"/>
        </w:rPr>
      </w:pPr>
    </w:p>
    <w:p>
      <w:pPr>
        <w:ind w:right="280" w:firstLine="648"/>
        <w:spacing w:after="0" w:line="253" w:lineRule="auto"/>
        <w:rPr>
          <w:sz w:val="20"/>
          <w:szCs w:val="20"/>
          <w:color w:val="auto"/>
        </w:rPr>
      </w:pPr>
      <w:r>
        <w:rPr>
          <w:rFonts w:ascii="Arial" w:cs="Arial" w:eastAsia="Arial" w:hAnsi="Arial"/>
          <w:sz w:val="16"/>
          <w:szCs w:val="16"/>
          <w:color w:val="auto"/>
        </w:rPr>
        <w:t>Segment adjusted EBITDA decreased $1.4 million or 8% in the three months ended April 30, 2021 compared to the same period last year due primarily to higher selling, general and administrative expenses as described above. The impact was partially offset by higher gross margin resulting from strong volume growth.</w:t>
      </w:r>
    </w:p>
    <w:p>
      <w:pPr>
        <w:spacing w:after="0" w:line="201"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auto"/>
        </w:rPr>
        <w:t>Net sales in our Marketing and Distribution segment decreased $12.0 million or 3% in the six months ended April 30, 2021 compared to the same period last year primarily due to a 15% decrease in average per-unit avocado sales prices, largely offset by a 14% increase in volume of avocados sold. Average price decreases were driven by strong industry supply from Mexico, which was the primary country of origin for fruit sourced and sold in the six months ended April 30, 2021.</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005" w:right="339" w:bottom="1440" w:gutter="0" w:footer="0" w:header="0"/>
          <w:type w:val="continuous"/>
        </w:sectPr>
      </w:pPr>
    </w:p>
    <w:bookmarkStart w:id="21" w:name="page22"/>
    <w:bookmarkEnd w:id="21"/>
    <w:p>
      <w:pPr>
        <w:ind w:right="460" w:firstLine="648"/>
        <w:spacing w:after="0" w:line="260" w:lineRule="auto"/>
        <w:rPr>
          <w:sz w:val="20"/>
          <w:szCs w:val="20"/>
          <w:color w:val="auto"/>
        </w:rPr>
      </w:pPr>
      <w:r>
        <w:rPr>
          <w:rFonts w:ascii="Arial" w:cs="Arial" w:eastAsia="Arial" w:hAnsi="Arial"/>
          <w:sz w:val="16"/>
          <w:szCs w:val="16"/>
          <w:color w:val="auto"/>
        </w:rPr>
        <w:t>Segment adjusted EBITDA increased $2.1 million or 8% in the six months ended April 30, 2021 compared to the same period last year due to higher gross margin resulting from higher volumes, partially offset by higher selling, general and administrative expenses as mentioned above.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International Farming</w:t>
      </w:r>
    </w:p>
    <w:p>
      <w:pPr>
        <w:spacing w:after="0" w:line="237"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Substantially all sales of fruit from our International Farming reportable segment are to our Marketing and Distribution reportable segment, with the remainder of revenue largely derived from services provided to independent third parties. Nominal affiliated sales are realized in the first half of the year since the avocado harvest season for our Peruvian farms typically runs from April through August of each year. Adjusted EBITDA for International Farming is generally concentrated in the third and fourth quarters of our fiscal year in alignment with the harvest season for avocados in Peru.</w:t>
      </w:r>
    </w:p>
    <w:p>
      <w:pPr>
        <w:spacing w:after="0" w:line="20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Total segment sales in our International Farming segment increased $1.9 million or 79% in the three months ended April 30, 2021, primarily due to earlier timing of the avocado harvest season relative to last year. Net sales increased $0.2 million or 10% in the three months ended April 30, 2021 compared to the same period last year, primarily due to higher packing and cold storage service revenue.</w:t>
      </w:r>
    </w:p>
    <w:p>
      <w:pPr>
        <w:spacing w:after="0" w:line="201" w:lineRule="exact"/>
        <w:rPr>
          <w:sz w:val="20"/>
          <w:szCs w:val="20"/>
          <w:color w:val="auto"/>
        </w:rPr>
      </w:pPr>
    </w:p>
    <w:p>
      <w:pPr>
        <w:ind w:right="220" w:firstLine="648"/>
        <w:spacing w:after="0" w:line="260" w:lineRule="auto"/>
        <w:rPr>
          <w:sz w:val="20"/>
          <w:szCs w:val="20"/>
          <w:color w:val="auto"/>
        </w:rPr>
      </w:pPr>
      <w:r>
        <w:rPr>
          <w:rFonts w:ascii="Arial" w:cs="Arial" w:eastAsia="Arial" w:hAnsi="Arial"/>
          <w:sz w:val="16"/>
          <w:szCs w:val="16"/>
          <w:color w:val="auto"/>
        </w:rPr>
        <w:t>Segment adjusted EBITDA improved by $3.3 million in the three months ended April 30, 2021 to $0.1 million, primarily due to the revenue drivers noted above, which enabled us to better leverage fixed-cost overhead in Peru during the avocado harvest off-season.</w:t>
      </w:r>
    </w:p>
    <w:p>
      <w:pPr>
        <w:spacing w:after="0" w:line="195" w:lineRule="exact"/>
        <w:rPr>
          <w:sz w:val="20"/>
          <w:szCs w:val="20"/>
          <w:color w:val="auto"/>
        </w:rPr>
      </w:pPr>
    </w:p>
    <w:p>
      <w:pPr>
        <w:ind w:right="160" w:firstLine="648"/>
        <w:spacing w:after="0" w:line="253" w:lineRule="auto"/>
        <w:rPr>
          <w:sz w:val="20"/>
          <w:szCs w:val="20"/>
          <w:color w:val="auto"/>
        </w:rPr>
      </w:pPr>
      <w:r>
        <w:rPr>
          <w:rFonts w:ascii="Arial" w:cs="Arial" w:eastAsia="Arial" w:hAnsi="Arial"/>
          <w:sz w:val="16"/>
          <w:szCs w:val="16"/>
          <w:color w:val="auto"/>
        </w:rPr>
        <w:t>Total segment sales in our International Farming segment increased $2.7 million or 50% in the six months ended April 30, 2021, primarily due to earlier timing of the avocado harvest season relative to last year. Net sales increased $0.8 million or 16% in the six months ended April 30, 2021 compared to the same period last year, primarily due to higher packing and cold storage service revenue.</w:t>
      </w:r>
    </w:p>
    <w:p>
      <w:pPr>
        <w:spacing w:after="0" w:line="201" w:lineRule="exact"/>
        <w:rPr>
          <w:sz w:val="20"/>
          <w:szCs w:val="20"/>
          <w:color w:val="auto"/>
        </w:rPr>
      </w:pPr>
    </w:p>
    <w:p>
      <w:pPr>
        <w:ind w:right="320" w:firstLine="648"/>
        <w:spacing w:after="0" w:line="260" w:lineRule="auto"/>
        <w:rPr>
          <w:sz w:val="20"/>
          <w:szCs w:val="20"/>
          <w:color w:val="auto"/>
        </w:rPr>
      </w:pPr>
      <w:r>
        <w:rPr>
          <w:rFonts w:ascii="Arial" w:cs="Arial" w:eastAsia="Arial" w:hAnsi="Arial"/>
          <w:sz w:val="16"/>
          <w:szCs w:val="16"/>
          <w:color w:val="auto"/>
        </w:rPr>
        <w:t>Segment adjusted EBITDA improved by $3.9 million in the six months ended April 30, 2021 to a loss of $1.1 million primarily due to the revenue drivers noted above, which enabled us to better leverage fixed-cost overhead in Peru during the avocado harvest off-season.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Operating activities</w:t>
      </w:r>
    </w:p>
    <w:p>
      <w:pPr>
        <w:spacing w:after="0" w:line="241" w:lineRule="exact"/>
        <w:rPr>
          <w:sz w:val="20"/>
          <w:szCs w:val="20"/>
          <w:color w:val="auto"/>
        </w:rPr>
      </w:pPr>
    </w:p>
    <w:p>
      <w:pPr>
        <w:ind w:right="160" w:firstLine="648"/>
        <w:spacing w:after="0" w:line="250" w:lineRule="auto"/>
        <w:rPr>
          <w:sz w:val="20"/>
          <w:szCs w:val="20"/>
          <w:color w:val="auto"/>
        </w:rPr>
      </w:pPr>
      <w:r>
        <w:rPr>
          <w:rFonts w:ascii="Arial" w:cs="Arial" w:eastAsia="Arial" w:hAnsi="Arial"/>
          <w:sz w:val="16"/>
          <w:szCs w:val="16"/>
          <w:color w:val="auto"/>
        </w:rPr>
        <w:t>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shd w:val="clear" w:color="auto" w:fill="232F84"/>
          </w:tcPr>
          <w:p>
            <w:pPr>
              <w:spacing w:after="0"/>
              <w:rPr>
                <w:sz w:val="15"/>
                <w:szCs w:val="15"/>
                <w:color w:val="auto"/>
              </w:rPr>
            </w:pPr>
          </w:p>
        </w:tc>
        <w:tc>
          <w:tcPr>
            <w:tcW w:w="560" w:type="dxa"/>
            <w:vAlign w:val="bottom"/>
            <w:shd w:val="clear" w:color="auto" w:fill="232F84"/>
          </w:tcPr>
          <w:p>
            <w:pPr>
              <w:spacing w:after="0"/>
              <w:rPr>
                <w:sz w:val="15"/>
                <w:szCs w:val="15"/>
                <w:color w:val="auto"/>
              </w:rPr>
            </w:pPr>
          </w:p>
        </w:tc>
        <w:tc>
          <w:tcPr>
            <w:tcW w:w="2000" w:type="dxa"/>
            <w:vAlign w:val="bottom"/>
            <w:gridSpan w:val="2"/>
            <w:shd w:val="clear" w:color="auto" w:fill="232F84"/>
          </w:tcPr>
          <w:p>
            <w:pPr>
              <w:jc w:val="right"/>
              <w:ind w:right="208"/>
              <w:spacing w:after="0"/>
              <w:rPr>
                <w:sz w:val="20"/>
                <w:szCs w:val="20"/>
                <w:color w:val="auto"/>
              </w:rPr>
            </w:pPr>
            <w:r>
              <w:rPr>
                <w:rFonts w:ascii="Arial" w:cs="Arial" w:eastAsia="Arial" w:hAnsi="Arial"/>
                <w:sz w:val="14"/>
                <w:szCs w:val="14"/>
                <w:b w:val="1"/>
                <w:bCs w:val="1"/>
                <w:color w:val="FFFFFF"/>
              </w:rPr>
              <w:t>Six Months Ended</w:t>
            </w:r>
          </w:p>
        </w:tc>
        <w:tc>
          <w:tcPr>
            <w:tcW w:w="740" w:type="dxa"/>
            <w:vAlign w:val="bottom"/>
            <w:shd w:val="clear" w:color="auto" w:fill="232F84"/>
          </w:tcPr>
          <w:p>
            <w:pPr>
              <w:spacing w:after="0"/>
              <w:rPr>
                <w:sz w:val="15"/>
                <w:szCs w:val="15"/>
                <w:color w:val="auto"/>
              </w:rPr>
            </w:pPr>
          </w:p>
        </w:tc>
      </w:tr>
      <w:tr>
        <w:trPr>
          <w:trHeight w:val="206"/>
        </w:trPr>
        <w:tc>
          <w:tcPr>
            <w:tcW w:w="7940" w:type="dxa"/>
            <w:vAlign w:val="bottom"/>
            <w:shd w:val="clear" w:color="auto" w:fill="232F84"/>
          </w:tcPr>
          <w:p>
            <w:pPr>
              <w:spacing w:after="0"/>
              <w:rPr>
                <w:sz w:val="17"/>
                <w:szCs w:val="17"/>
                <w:color w:val="auto"/>
              </w:rPr>
            </w:pPr>
          </w:p>
        </w:tc>
        <w:tc>
          <w:tcPr>
            <w:tcW w:w="56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right"/>
              <w:ind w:right="548"/>
              <w:spacing w:after="0"/>
              <w:rPr>
                <w:sz w:val="20"/>
                <w:szCs w:val="20"/>
                <w:color w:val="auto"/>
              </w:rPr>
            </w:pPr>
            <w:r>
              <w:rPr>
                <w:rFonts w:ascii="Arial" w:cs="Arial" w:eastAsia="Arial" w:hAnsi="Arial"/>
                <w:sz w:val="14"/>
                <w:szCs w:val="14"/>
                <w:b w:val="1"/>
                <w:bCs w:val="1"/>
                <w:color w:val="FFFFFF"/>
              </w:rPr>
              <w:t>April 30,</w:t>
            </w:r>
          </w:p>
        </w:tc>
        <w:tc>
          <w:tcPr>
            <w:tcW w:w="740" w:type="dxa"/>
            <w:vAlign w:val="bottom"/>
            <w:shd w:val="clear" w:color="auto" w:fill="232F84"/>
          </w:tcPr>
          <w:p>
            <w:pPr>
              <w:spacing w:after="0"/>
              <w:rPr>
                <w:sz w:val="17"/>
                <w:szCs w:val="17"/>
                <w:color w:val="auto"/>
              </w:rPr>
            </w:pPr>
          </w:p>
        </w:tc>
      </w:tr>
      <w:tr>
        <w:trPr>
          <w:trHeight w:val="226"/>
        </w:trPr>
        <w:tc>
          <w:tcPr>
            <w:tcW w:w="79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60" w:type="dxa"/>
            <w:vAlign w:val="bottom"/>
            <w:shd w:val="clear" w:color="auto" w:fill="232F84"/>
          </w:tcPr>
          <w:p>
            <w:pPr>
              <w:spacing w:after="0"/>
              <w:rPr>
                <w:sz w:val="19"/>
                <w:szCs w:val="19"/>
                <w:color w:val="auto"/>
              </w:rPr>
            </w:pPr>
          </w:p>
        </w:tc>
        <w:tc>
          <w:tcPr>
            <w:tcW w:w="1080" w:type="dxa"/>
            <w:vAlign w:val="bottom"/>
            <w:shd w:val="clear" w:color="auto" w:fill="232F84"/>
          </w:tcPr>
          <w:p>
            <w:pPr>
              <w:jc w:val="right"/>
              <w:ind w:right="108"/>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9"/>
                <w:szCs w:val="19"/>
                <w:color w:val="auto"/>
              </w:rPr>
            </w:pPr>
          </w:p>
        </w:tc>
        <w:tc>
          <w:tcPr>
            <w:tcW w:w="74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income (loss)</w:t>
            </w:r>
          </w:p>
        </w:tc>
        <w:tc>
          <w:tcPr>
            <w:tcW w:w="560" w:type="dxa"/>
            <w:vAlign w:val="bottom"/>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9.6</w:t>
            </w:r>
          </w:p>
        </w:tc>
        <w:tc>
          <w:tcPr>
            <w:tcW w:w="920" w:type="dxa"/>
            <w:vAlign w:val="bottom"/>
            <w:shd w:val="clear" w:color="auto" w:fill="43C0B9"/>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(13.4)</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(2.1)</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Impairment on equity method investment</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Stock-based compensation</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1.5</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0.7</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Dividends received from equity method investees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Other</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16"/>
        </w:trPr>
        <w:tc>
          <w:tcPr>
            <w:tcW w:w="79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Changes in working capital</w:t>
            </w:r>
          </w:p>
        </w:tc>
        <w:tc>
          <w:tcPr>
            <w:tcW w:w="560" w:type="dxa"/>
            <w:vAlign w:val="bottom"/>
            <w:tcBorders>
              <w:bottom w:val="single" w:sz="8" w:color="auto"/>
            </w:tcBorders>
            <w:shd w:val="clear" w:color="auto" w:fill="43C0B9"/>
          </w:tcPr>
          <w:p>
            <w:pPr>
              <w:spacing w:after="0"/>
              <w:rPr>
                <w:sz w:val="18"/>
                <w:szCs w:val="18"/>
                <w:color w:val="auto"/>
              </w:rPr>
            </w:pPr>
          </w:p>
        </w:tc>
        <w:tc>
          <w:tcPr>
            <w:tcW w:w="10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(42.4)</w:t>
            </w:r>
          </w:p>
        </w:tc>
        <w:tc>
          <w:tcPr>
            <w:tcW w:w="920" w:type="dxa"/>
            <w:vAlign w:val="bottom"/>
            <w:tcBorders>
              <w:bottom w:val="single" w:sz="8" w:color="auto"/>
            </w:tcBorders>
            <w:shd w:val="clear" w:color="auto" w:fill="43C0B9"/>
          </w:tcPr>
          <w:p>
            <w:pPr>
              <w:spacing w:after="0"/>
              <w:rPr>
                <w:sz w:val="18"/>
                <w:szCs w:val="18"/>
                <w:color w:val="auto"/>
              </w:rPr>
            </w:pPr>
          </w:p>
        </w:tc>
        <w:tc>
          <w:tcPr>
            <w:tcW w:w="7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(22.8)</w:t>
            </w:r>
          </w:p>
        </w:tc>
      </w:tr>
      <w:tr>
        <w:trPr>
          <w:trHeight w:val="21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w:t>
            </w:r>
          </w:p>
        </w:tc>
        <w:tc>
          <w:tcPr>
            <w:tcW w:w="9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bl>
    <w:p>
      <w:pPr>
        <w:spacing w:after="0" w:line="200" w:lineRule="exact"/>
        <w:rPr>
          <w:sz w:val="20"/>
          <w:szCs w:val="20"/>
          <w:color w:val="auto"/>
        </w:rPr>
      </w:pPr>
    </w:p>
    <w:p>
      <w:pPr>
        <w:spacing w:after="0" w:line="261" w:lineRule="exact"/>
        <w:rPr>
          <w:sz w:val="20"/>
          <w:szCs w:val="20"/>
          <w:color w:val="auto"/>
        </w:rPr>
      </w:pPr>
    </w:p>
    <w:p>
      <w:pPr>
        <w:ind w:right="40" w:firstLine="648"/>
        <w:spacing w:after="0" w:line="248" w:lineRule="auto"/>
        <w:rPr>
          <w:sz w:val="20"/>
          <w:szCs w:val="20"/>
          <w:color w:val="auto"/>
        </w:rPr>
      </w:pPr>
      <w:r>
        <w:rPr>
          <w:rFonts w:ascii="Arial" w:cs="Arial" w:eastAsia="Arial" w:hAnsi="Arial"/>
          <w:sz w:val="16"/>
          <w:szCs w:val="16"/>
          <w:color w:val="auto"/>
        </w:rPr>
        <w:t>Net cash used in operating activities increased $15.5 million for the six months ended April 30, 2021 compared to the respective period last year, reflecting unfavorable net change in working capital, partially offset by our higher net income. Within working capital, unfavorable changes in inventory and accounts receivable were only partially offset by favorable changes in grower payables and accounts payable and accrued expenses. Changes in inventory were driven by a combination of higher Mexican fruit volume on-hand and increases in the per-unit cost of purchased fruit. Prior year inventory balances were abnormally low due to the onset of COVID-19 shelter in place orders in March 2020. In addition, inventory balances were negatively impacted by the build-up of growing crop inventory in Peru. The increases were due primarily to higher per-acre farming costs that were expended in the first half of the fiscal year to drive higher production yields when the harvest occurs in the second half of the fiscal year. Accounts receivable increases were due to a combination of higher sales volumes and rising sales prices during the period. Favorable changes in grower payables were correlated with the volume and pricing increases experienced with Mexican inventory. Accounts payable and accrued expenses increased due to higher freight and operating cost accruals that correlate to higher volumes and rising input costs.</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00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232F84"/>
        </w:rPr>
        <w:t>Investing activities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shd w:val="clear" w:color="auto" w:fill="232F84"/>
          </w:tcPr>
          <w:p>
            <w:pPr>
              <w:spacing w:after="0"/>
              <w:rPr>
                <w:sz w:val="15"/>
                <w:szCs w:val="15"/>
                <w:color w:val="auto"/>
              </w:rPr>
            </w:pPr>
          </w:p>
        </w:tc>
        <w:tc>
          <w:tcPr>
            <w:tcW w:w="560" w:type="dxa"/>
            <w:vAlign w:val="bottom"/>
            <w:shd w:val="clear" w:color="auto" w:fill="232F84"/>
          </w:tcPr>
          <w:p>
            <w:pPr>
              <w:spacing w:after="0"/>
              <w:rPr>
                <w:sz w:val="15"/>
                <w:szCs w:val="15"/>
                <w:color w:val="auto"/>
              </w:rPr>
            </w:pPr>
          </w:p>
        </w:tc>
        <w:tc>
          <w:tcPr>
            <w:tcW w:w="2000" w:type="dxa"/>
            <w:vAlign w:val="bottom"/>
            <w:gridSpan w:val="2"/>
            <w:shd w:val="clear" w:color="auto" w:fill="232F84"/>
          </w:tcPr>
          <w:p>
            <w:pPr>
              <w:jc w:val="right"/>
              <w:ind w:right="208"/>
              <w:spacing w:after="0"/>
              <w:rPr>
                <w:sz w:val="20"/>
                <w:szCs w:val="20"/>
                <w:color w:val="auto"/>
              </w:rPr>
            </w:pPr>
            <w:r>
              <w:rPr>
                <w:rFonts w:ascii="Arial" w:cs="Arial" w:eastAsia="Arial" w:hAnsi="Arial"/>
                <w:sz w:val="14"/>
                <w:szCs w:val="14"/>
                <w:b w:val="1"/>
                <w:bCs w:val="1"/>
                <w:color w:val="FFFFFF"/>
              </w:rPr>
              <w:t>Six Months Ended</w:t>
            </w:r>
          </w:p>
        </w:tc>
        <w:tc>
          <w:tcPr>
            <w:tcW w:w="740" w:type="dxa"/>
            <w:vAlign w:val="bottom"/>
            <w:shd w:val="clear" w:color="auto" w:fill="232F84"/>
          </w:tcPr>
          <w:p>
            <w:pPr>
              <w:spacing w:after="0"/>
              <w:rPr>
                <w:sz w:val="15"/>
                <w:szCs w:val="15"/>
                <w:color w:val="auto"/>
              </w:rPr>
            </w:pPr>
          </w:p>
        </w:tc>
      </w:tr>
      <w:tr>
        <w:trPr>
          <w:trHeight w:val="206"/>
        </w:trPr>
        <w:tc>
          <w:tcPr>
            <w:tcW w:w="7940" w:type="dxa"/>
            <w:vAlign w:val="bottom"/>
            <w:shd w:val="clear" w:color="auto" w:fill="232F84"/>
          </w:tcPr>
          <w:p>
            <w:pPr>
              <w:spacing w:after="0"/>
              <w:rPr>
                <w:sz w:val="17"/>
                <w:szCs w:val="17"/>
                <w:color w:val="auto"/>
              </w:rPr>
            </w:pPr>
          </w:p>
        </w:tc>
        <w:tc>
          <w:tcPr>
            <w:tcW w:w="56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jc w:val="right"/>
              <w:ind w:right="548"/>
              <w:spacing w:after="0"/>
              <w:rPr>
                <w:sz w:val="20"/>
                <w:szCs w:val="20"/>
                <w:color w:val="auto"/>
              </w:rPr>
            </w:pPr>
            <w:r>
              <w:rPr>
                <w:rFonts w:ascii="Arial" w:cs="Arial" w:eastAsia="Arial" w:hAnsi="Arial"/>
                <w:sz w:val="14"/>
                <w:szCs w:val="14"/>
                <w:b w:val="1"/>
                <w:bCs w:val="1"/>
                <w:color w:val="FFFFFF"/>
              </w:rPr>
              <w:t>April 30,</w:t>
            </w:r>
          </w:p>
        </w:tc>
        <w:tc>
          <w:tcPr>
            <w:tcW w:w="740" w:type="dxa"/>
            <w:vAlign w:val="bottom"/>
            <w:shd w:val="clear" w:color="auto" w:fill="232F84"/>
          </w:tcPr>
          <w:p>
            <w:pPr>
              <w:spacing w:after="0"/>
              <w:rPr>
                <w:sz w:val="17"/>
                <w:szCs w:val="17"/>
                <w:color w:val="auto"/>
              </w:rPr>
            </w:pPr>
          </w:p>
        </w:tc>
      </w:tr>
      <w:tr>
        <w:trPr>
          <w:trHeight w:val="226"/>
        </w:trPr>
        <w:tc>
          <w:tcPr>
            <w:tcW w:w="79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60" w:type="dxa"/>
            <w:vAlign w:val="bottom"/>
            <w:shd w:val="clear" w:color="auto" w:fill="232F84"/>
          </w:tcPr>
          <w:p>
            <w:pPr>
              <w:spacing w:after="0"/>
              <w:rPr>
                <w:sz w:val="19"/>
                <w:szCs w:val="19"/>
                <w:color w:val="auto"/>
              </w:rPr>
            </w:pPr>
          </w:p>
        </w:tc>
        <w:tc>
          <w:tcPr>
            <w:tcW w:w="1080" w:type="dxa"/>
            <w:vAlign w:val="bottom"/>
            <w:shd w:val="clear" w:color="auto" w:fill="232F84"/>
          </w:tcPr>
          <w:p>
            <w:pPr>
              <w:jc w:val="right"/>
              <w:ind w:right="108"/>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9"/>
                <w:szCs w:val="19"/>
                <w:color w:val="auto"/>
              </w:rPr>
            </w:pPr>
          </w:p>
        </w:tc>
        <w:tc>
          <w:tcPr>
            <w:tcW w:w="74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Purchases of property and equipment</w:t>
            </w:r>
          </w:p>
        </w:tc>
        <w:tc>
          <w:tcPr>
            <w:tcW w:w="560" w:type="dxa"/>
            <w:vAlign w:val="bottom"/>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(46.8)</w:t>
            </w:r>
          </w:p>
        </w:tc>
        <w:tc>
          <w:tcPr>
            <w:tcW w:w="920" w:type="dxa"/>
            <w:vAlign w:val="bottom"/>
            <w:shd w:val="clear" w:color="auto" w:fill="43C0B9"/>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(19.7)</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Investment in equity method investees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(0.2)</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Loan repayments from equity method investees</w:t>
            </w:r>
          </w:p>
        </w:tc>
        <w:tc>
          <w:tcPr>
            <w:tcW w:w="56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9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Loans to equity method investees</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(1.5)</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9"/>
        </w:trPr>
        <w:tc>
          <w:tcPr>
            <w:tcW w:w="79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Net cash used in investing activities</w:t>
            </w:r>
          </w:p>
        </w:tc>
        <w:tc>
          <w:tcPr>
            <w:tcW w:w="560" w:type="dxa"/>
            <w:vAlign w:val="bottom"/>
            <w:tcBorders>
              <w:bottom w:val="single" w:sz="8" w:color="auto"/>
            </w:tcBorders>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(45.0)</w:t>
            </w:r>
          </w:p>
        </w:tc>
        <w:tc>
          <w:tcPr>
            <w:tcW w:w="920" w:type="dxa"/>
            <w:vAlign w:val="bottom"/>
            <w:tcBorders>
              <w:bottom w:val="single" w:sz="8" w:color="auto"/>
            </w:tcBorders>
            <w:shd w:val="clear" w:color="auto" w:fill="43C0B9"/>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Property, plant and equipment</w:t>
      </w:r>
    </w:p>
    <w:p>
      <w:pPr>
        <w:spacing w:after="0" w:line="237" w:lineRule="exact"/>
        <w:rPr>
          <w:sz w:val="20"/>
          <w:szCs w:val="20"/>
          <w:color w:val="auto"/>
        </w:rPr>
      </w:pPr>
    </w:p>
    <w:p>
      <w:pPr>
        <w:ind w:right="320" w:firstLine="648"/>
        <w:spacing w:after="0" w:line="253" w:lineRule="auto"/>
        <w:rPr>
          <w:sz w:val="20"/>
          <w:szCs w:val="20"/>
          <w:color w:val="auto"/>
        </w:rPr>
      </w:pPr>
      <w:r>
        <w:rPr>
          <w:rFonts w:ascii="Arial" w:cs="Arial" w:eastAsia="Arial" w:hAnsi="Arial"/>
          <w:sz w:val="16"/>
          <w:szCs w:val="16"/>
          <w:color w:val="auto"/>
        </w:rPr>
        <w:t>In the six months ended April 30, 2021, capital expenditures were for the construction of the Laredo facility, which formally opened in May 2021, and land improvements and orchard development in Peru and Guatemala. In the six months ended April 30, 2020, capital expenditures were for farm development and packinghouse expansion in Peru, the purchase of farmland in California and initial site preparation costs for the Laredo facility.</w:t>
      </w:r>
    </w:p>
    <w:p>
      <w:pPr>
        <w:spacing w:after="0" w:line="201" w:lineRule="exact"/>
        <w:rPr>
          <w:sz w:val="20"/>
          <w:szCs w:val="20"/>
          <w:color w:val="auto"/>
        </w:rPr>
      </w:pPr>
    </w:p>
    <w:p>
      <w:pPr>
        <w:ind w:right="500" w:firstLine="648"/>
        <w:spacing w:after="0" w:line="260" w:lineRule="auto"/>
        <w:rPr>
          <w:sz w:val="20"/>
          <w:szCs w:val="20"/>
          <w:color w:val="auto"/>
        </w:rPr>
      </w:pPr>
      <w:r>
        <w:rPr>
          <w:rFonts w:ascii="Arial" w:cs="Arial" w:eastAsia="Arial" w:hAnsi="Arial"/>
          <w:sz w:val="16"/>
          <w:szCs w:val="16"/>
          <w:color w:val="auto"/>
        </w:rPr>
        <w:t>In the six months ended April 30, 2021, proceeds from the sale of property, plant and equipment were primarily from the sale of two multi-unit housing properties in California that had been used for housing seasonal avocado labor contractors.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Equity method investees</w:t>
      </w:r>
    </w:p>
    <w:p>
      <w:pPr>
        <w:spacing w:after="0" w:line="237" w:lineRule="exact"/>
        <w:rPr>
          <w:sz w:val="20"/>
          <w:szCs w:val="20"/>
          <w:color w:val="auto"/>
        </w:rPr>
      </w:pPr>
    </w:p>
    <w:p>
      <w:pPr>
        <w:ind w:right="380" w:firstLine="648"/>
        <w:spacing w:after="0" w:line="260" w:lineRule="auto"/>
        <w:rPr>
          <w:sz w:val="20"/>
          <w:szCs w:val="20"/>
          <w:color w:val="auto"/>
        </w:rPr>
      </w:pPr>
      <w:r>
        <w:rPr>
          <w:rFonts w:ascii="Arial" w:cs="Arial" w:eastAsia="Arial" w:hAnsi="Arial"/>
          <w:sz w:val="16"/>
          <w:szCs w:val="16"/>
          <w:color w:val="auto"/>
        </w:rPr>
        <w:t>In the six months ended April 30, 2021 and 2020, we made capital contributions to our joint venture Copaltas S.A.S. to support the purchase of additional farmland in Colombia.</w:t>
      </w:r>
    </w:p>
    <w:p>
      <w:pPr>
        <w:spacing w:after="0" w:line="195"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16"/>
          <w:szCs w:val="16"/>
          <w:color w:val="auto"/>
        </w:rPr>
        <w:t>During the six months ended April 30, 2021, we issued a $1.5 million loan to Copaltas to support the working capital needs of the entity. The loan bears interest at 6.66% and is due December 31, 2021. In addition, we received an installment payment on our outstanding loan to Moruga during the six months ended April 30, 2021.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Financing activities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shd w:val="clear" w:color="auto" w:fill="232F84"/>
          </w:tcPr>
          <w:p>
            <w:pPr>
              <w:spacing w:after="0"/>
              <w:rPr>
                <w:sz w:val="15"/>
                <w:szCs w:val="15"/>
                <w:color w:val="auto"/>
              </w:rPr>
            </w:pPr>
          </w:p>
        </w:tc>
        <w:tc>
          <w:tcPr>
            <w:tcW w:w="560" w:type="dxa"/>
            <w:vAlign w:val="bottom"/>
            <w:shd w:val="clear" w:color="auto" w:fill="232F84"/>
          </w:tcPr>
          <w:p>
            <w:pPr>
              <w:spacing w:after="0"/>
              <w:rPr>
                <w:sz w:val="15"/>
                <w:szCs w:val="15"/>
                <w:color w:val="auto"/>
              </w:rPr>
            </w:pPr>
          </w:p>
        </w:tc>
        <w:tc>
          <w:tcPr>
            <w:tcW w:w="2000" w:type="dxa"/>
            <w:vAlign w:val="bottom"/>
            <w:gridSpan w:val="2"/>
            <w:shd w:val="clear" w:color="auto" w:fill="232F84"/>
          </w:tcPr>
          <w:p>
            <w:pPr>
              <w:ind w:left="460"/>
              <w:spacing w:after="0"/>
              <w:rPr>
                <w:sz w:val="20"/>
                <w:szCs w:val="20"/>
                <w:color w:val="auto"/>
              </w:rPr>
            </w:pPr>
            <w:r>
              <w:rPr>
                <w:rFonts w:ascii="Arial" w:cs="Arial" w:eastAsia="Arial" w:hAnsi="Arial"/>
                <w:sz w:val="14"/>
                <w:szCs w:val="14"/>
                <w:b w:val="1"/>
                <w:bCs w:val="1"/>
                <w:color w:val="FFFFFF"/>
              </w:rPr>
              <w:t>Six Months Ended</w:t>
            </w:r>
          </w:p>
        </w:tc>
        <w:tc>
          <w:tcPr>
            <w:tcW w:w="740" w:type="dxa"/>
            <w:vAlign w:val="bottom"/>
            <w:shd w:val="clear" w:color="auto" w:fill="232F84"/>
          </w:tcPr>
          <w:p>
            <w:pPr>
              <w:spacing w:after="0"/>
              <w:rPr>
                <w:sz w:val="15"/>
                <w:szCs w:val="15"/>
                <w:color w:val="auto"/>
              </w:rPr>
            </w:pPr>
          </w:p>
        </w:tc>
      </w:tr>
      <w:tr>
        <w:trPr>
          <w:trHeight w:val="206"/>
        </w:trPr>
        <w:tc>
          <w:tcPr>
            <w:tcW w:w="7940" w:type="dxa"/>
            <w:vAlign w:val="bottom"/>
            <w:shd w:val="clear" w:color="auto" w:fill="232F84"/>
          </w:tcPr>
          <w:p>
            <w:pPr>
              <w:spacing w:after="0"/>
              <w:rPr>
                <w:sz w:val="17"/>
                <w:szCs w:val="17"/>
                <w:color w:val="auto"/>
              </w:rPr>
            </w:pPr>
          </w:p>
        </w:tc>
        <w:tc>
          <w:tcPr>
            <w:tcW w:w="560" w:type="dxa"/>
            <w:vAlign w:val="bottom"/>
            <w:shd w:val="clear" w:color="auto" w:fill="232F84"/>
          </w:tcPr>
          <w:p>
            <w:pPr>
              <w:spacing w:after="0"/>
              <w:rPr>
                <w:sz w:val="17"/>
                <w:szCs w:val="17"/>
                <w:color w:val="auto"/>
              </w:rPr>
            </w:pPr>
          </w:p>
        </w:tc>
        <w:tc>
          <w:tcPr>
            <w:tcW w:w="2000" w:type="dxa"/>
            <w:vAlign w:val="bottom"/>
            <w:gridSpan w:val="2"/>
            <w:shd w:val="clear" w:color="auto" w:fill="232F84"/>
          </w:tcPr>
          <w:p>
            <w:pPr>
              <w:ind w:left="800"/>
              <w:spacing w:after="0"/>
              <w:rPr>
                <w:sz w:val="20"/>
                <w:szCs w:val="20"/>
                <w:color w:val="auto"/>
              </w:rPr>
            </w:pPr>
            <w:r>
              <w:rPr>
                <w:rFonts w:ascii="Arial" w:cs="Arial" w:eastAsia="Arial" w:hAnsi="Arial"/>
                <w:sz w:val="14"/>
                <w:szCs w:val="14"/>
                <w:b w:val="1"/>
                <w:bCs w:val="1"/>
                <w:color w:val="FFFFFF"/>
              </w:rPr>
              <w:t>April 30,</w:t>
            </w:r>
          </w:p>
        </w:tc>
        <w:tc>
          <w:tcPr>
            <w:tcW w:w="740" w:type="dxa"/>
            <w:vAlign w:val="bottom"/>
            <w:shd w:val="clear" w:color="auto" w:fill="232F84"/>
          </w:tcPr>
          <w:p>
            <w:pPr>
              <w:spacing w:after="0"/>
              <w:rPr>
                <w:sz w:val="17"/>
                <w:szCs w:val="17"/>
                <w:color w:val="auto"/>
              </w:rPr>
            </w:pPr>
          </w:p>
        </w:tc>
      </w:tr>
      <w:tr>
        <w:trPr>
          <w:trHeight w:val="226"/>
        </w:trPr>
        <w:tc>
          <w:tcPr>
            <w:tcW w:w="79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60" w:type="dxa"/>
            <w:vAlign w:val="bottom"/>
            <w:shd w:val="clear" w:color="auto" w:fill="232F84"/>
          </w:tcPr>
          <w:p>
            <w:pPr>
              <w:spacing w:after="0"/>
              <w:rPr>
                <w:sz w:val="19"/>
                <w:szCs w:val="19"/>
                <w:color w:val="auto"/>
              </w:rPr>
            </w:pPr>
          </w:p>
        </w:tc>
        <w:tc>
          <w:tcPr>
            <w:tcW w:w="1080" w:type="dxa"/>
            <w:vAlign w:val="bottom"/>
            <w:shd w:val="clear" w:color="auto" w:fill="232F84"/>
          </w:tcPr>
          <w:p>
            <w:pPr>
              <w:ind w:left="580"/>
              <w:spacing w:after="0"/>
              <w:rPr>
                <w:sz w:val="20"/>
                <w:szCs w:val="20"/>
                <w:color w:val="auto"/>
              </w:rPr>
            </w:pPr>
            <w:r>
              <w:rPr>
                <w:rFonts w:ascii="Arial" w:cs="Arial" w:eastAsia="Arial" w:hAnsi="Arial"/>
                <w:sz w:val="14"/>
                <w:szCs w:val="14"/>
                <w:b w:val="1"/>
                <w:bCs w:val="1"/>
                <w:color w:val="FFFFFF"/>
              </w:rPr>
              <w:t>2021</w:t>
            </w:r>
          </w:p>
        </w:tc>
        <w:tc>
          <w:tcPr>
            <w:tcW w:w="920" w:type="dxa"/>
            <w:vAlign w:val="bottom"/>
            <w:shd w:val="clear" w:color="auto" w:fill="232F84"/>
          </w:tcPr>
          <w:p>
            <w:pPr>
              <w:spacing w:after="0"/>
              <w:rPr>
                <w:sz w:val="19"/>
                <w:szCs w:val="19"/>
                <w:color w:val="auto"/>
              </w:rPr>
            </w:pPr>
          </w:p>
        </w:tc>
        <w:tc>
          <w:tcPr>
            <w:tcW w:w="74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Borrowings (payments) on revolving line credit</w:t>
            </w:r>
          </w:p>
        </w:tc>
        <w:tc>
          <w:tcPr>
            <w:tcW w:w="560" w:type="dxa"/>
            <w:vAlign w:val="bottom"/>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43C0B9"/>
          </w:tcPr>
          <w:p>
            <w:pPr>
              <w:ind w:left="820"/>
              <w:spacing w:after="0"/>
              <w:rPr>
                <w:sz w:val="20"/>
                <w:szCs w:val="20"/>
                <w:color w:val="auto"/>
              </w:rPr>
            </w:pPr>
            <w:r>
              <w:rPr>
                <w:rFonts w:ascii="Arial" w:cs="Arial" w:eastAsia="Arial" w:hAnsi="Arial"/>
                <w:sz w:val="14"/>
                <w:szCs w:val="14"/>
                <w:color w:val="auto"/>
              </w:rPr>
              <w:t>—</w:t>
            </w:r>
          </w:p>
        </w:tc>
        <w:tc>
          <w:tcPr>
            <w:tcW w:w="920" w:type="dxa"/>
            <w:vAlign w:val="bottom"/>
            <w:shd w:val="clear" w:color="auto" w:fill="43C0B9"/>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shd w:val="clear" w:color="auto" w:fill="43C0B9"/>
          </w:tcPr>
          <w:p>
            <w:pPr>
              <w:jc w:val="center"/>
              <w:ind w:left="348"/>
              <w:spacing w:after="0"/>
              <w:rPr>
                <w:sz w:val="20"/>
                <w:szCs w:val="20"/>
                <w:color w:val="auto"/>
              </w:rPr>
            </w:pPr>
            <w:r>
              <w:rPr>
                <w:rFonts w:ascii="Arial" w:cs="Arial" w:eastAsia="Arial" w:hAnsi="Arial"/>
                <w:sz w:val="14"/>
                <w:szCs w:val="14"/>
                <w:color w:val="auto"/>
              </w:rPr>
              <w:t>4.0</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Principal payments on long-term borrowings, capital leases and supplier financing</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Pr>
          <w:p>
            <w:pPr>
              <w:ind w:left="700"/>
              <w:spacing w:after="0"/>
              <w:rPr>
                <w:sz w:val="20"/>
                <w:szCs w:val="20"/>
                <w:color w:val="auto"/>
              </w:rPr>
            </w:pPr>
            <w:r>
              <w:rPr>
                <w:rFonts w:ascii="Arial" w:cs="Arial" w:eastAsia="Arial" w:hAnsi="Arial"/>
                <w:sz w:val="14"/>
                <w:szCs w:val="14"/>
                <w:color w:val="auto"/>
              </w:rPr>
              <w:t>(4.5)</w:t>
            </w:r>
          </w:p>
        </w:tc>
        <w:tc>
          <w:tcPr>
            <w:tcW w:w="9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left="328"/>
              <w:spacing w:after="0"/>
              <w:rPr>
                <w:sz w:val="20"/>
                <w:szCs w:val="20"/>
                <w:color w:val="auto"/>
              </w:rPr>
            </w:pPr>
            <w:r>
              <w:rPr>
                <w:rFonts w:ascii="Arial" w:cs="Arial" w:eastAsia="Arial" w:hAnsi="Arial"/>
                <w:sz w:val="14"/>
                <w:szCs w:val="14"/>
                <w:color w:val="auto"/>
              </w:rPr>
              <w:t>(4.6)</w:t>
            </w:r>
          </w:p>
        </w:tc>
      </w:tr>
      <w:tr>
        <w:trPr>
          <w:trHeight w:val="222"/>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color w:val="auto"/>
              </w:rPr>
              <w:t>Dividends paid</w:t>
            </w:r>
          </w:p>
        </w:tc>
        <w:tc>
          <w:tcPr>
            <w:tcW w:w="560" w:type="dxa"/>
            <w:vAlign w:val="bottom"/>
            <w:shd w:val="clear" w:color="auto" w:fill="43C0B9"/>
          </w:tcPr>
          <w:p>
            <w:pPr>
              <w:spacing w:after="0"/>
              <w:rPr>
                <w:sz w:val="19"/>
                <w:szCs w:val="19"/>
                <w:color w:val="auto"/>
              </w:rPr>
            </w:pPr>
          </w:p>
        </w:tc>
        <w:tc>
          <w:tcPr>
            <w:tcW w:w="1080" w:type="dxa"/>
            <w:vAlign w:val="bottom"/>
            <w:shd w:val="clear" w:color="auto" w:fill="43C0B9"/>
          </w:tcPr>
          <w:p>
            <w:pPr>
              <w:ind w:left="820"/>
              <w:spacing w:after="0"/>
              <w:rPr>
                <w:sz w:val="20"/>
                <w:szCs w:val="20"/>
                <w:color w:val="auto"/>
              </w:rPr>
            </w:pPr>
            <w:r>
              <w:rPr>
                <w:rFonts w:ascii="Arial" w:cs="Arial" w:eastAsia="Arial" w:hAnsi="Arial"/>
                <w:sz w:val="14"/>
                <w:szCs w:val="14"/>
                <w:color w:val="auto"/>
              </w:rPr>
              <w:t>—</w:t>
            </w:r>
          </w:p>
        </w:tc>
        <w:tc>
          <w:tcPr>
            <w:tcW w:w="920" w:type="dxa"/>
            <w:vAlign w:val="bottom"/>
            <w:shd w:val="clear" w:color="auto" w:fill="43C0B9"/>
          </w:tcPr>
          <w:p>
            <w:pPr>
              <w:spacing w:after="0"/>
              <w:rPr>
                <w:sz w:val="19"/>
                <w:szCs w:val="19"/>
                <w:color w:val="auto"/>
              </w:rPr>
            </w:pPr>
          </w:p>
        </w:tc>
        <w:tc>
          <w:tcPr>
            <w:tcW w:w="740" w:type="dxa"/>
            <w:vAlign w:val="bottom"/>
            <w:shd w:val="clear" w:color="auto" w:fill="43C0B9"/>
          </w:tcPr>
          <w:p>
            <w:pPr>
              <w:jc w:val="center"/>
              <w:ind w:left="328"/>
              <w:spacing w:after="0"/>
              <w:rPr>
                <w:sz w:val="20"/>
                <w:szCs w:val="20"/>
                <w:color w:val="auto"/>
              </w:rPr>
            </w:pPr>
            <w:r>
              <w:rPr>
                <w:rFonts w:ascii="Arial" w:cs="Arial" w:eastAsia="Arial" w:hAnsi="Arial"/>
                <w:sz w:val="14"/>
                <w:szCs w:val="14"/>
                <w:color w:val="auto"/>
              </w:rPr>
              <w:t>(7.5)</w:t>
            </w:r>
          </w:p>
        </w:tc>
      </w:tr>
      <w:tr>
        <w:trPr>
          <w:trHeight w:val="21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(1.8)</w:t>
            </w:r>
          </w:p>
        </w:tc>
      </w:tr>
      <w:tr>
        <w:trPr>
          <w:trHeight w:val="209"/>
        </w:trPr>
        <w:tc>
          <w:tcPr>
            <w:tcW w:w="79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Net cash used in financing activities</w:t>
            </w:r>
          </w:p>
        </w:tc>
        <w:tc>
          <w:tcPr>
            <w:tcW w:w="560" w:type="dxa"/>
            <w:vAlign w:val="bottom"/>
            <w:tcBorders>
              <w:bottom w:val="single" w:sz="8" w:color="auto"/>
            </w:tcBorders>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43C0B9"/>
          </w:tcPr>
          <w:p>
            <w:pPr>
              <w:ind w:left="700"/>
              <w:spacing w:after="0"/>
              <w:rPr>
                <w:sz w:val="20"/>
                <w:szCs w:val="20"/>
                <w:color w:val="auto"/>
              </w:rPr>
            </w:pPr>
            <w:r>
              <w:rPr>
                <w:rFonts w:ascii="Arial" w:cs="Arial" w:eastAsia="Arial" w:hAnsi="Arial"/>
                <w:sz w:val="14"/>
                <w:szCs w:val="14"/>
                <w:color w:val="auto"/>
              </w:rPr>
              <w:t>(4.5)</w:t>
            </w:r>
          </w:p>
        </w:tc>
        <w:tc>
          <w:tcPr>
            <w:tcW w:w="920" w:type="dxa"/>
            <w:vAlign w:val="bottom"/>
            <w:tcBorders>
              <w:bottom w:val="single" w:sz="8" w:color="auto"/>
            </w:tcBorders>
            <w:shd w:val="clear" w:color="auto" w:fill="43C0B9"/>
          </w:tcPr>
          <w:p>
            <w:pPr>
              <w:jc w:val="right"/>
              <w:ind w:right="6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43C0B9"/>
          </w:tcPr>
          <w:p>
            <w:pPr>
              <w:jc w:val="center"/>
              <w:ind w:left="328"/>
              <w:spacing w:after="0"/>
              <w:rPr>
                <w:sz w:val="20"/>
                <w:szCs w:val="20"/>
                <w:color w:val="auto"/>
              </w:rPr>
            </w:pPr>
            <w:r>
              <w:rPr>
                <w:rFonts w:ascii="Arial" w:cs="Arial" w:eastAsia="Arial" w:hAnsi="Arial"/>
                <w:sz w:val="14"/>
                <w:szCs w:val="14"/>
                <w:color w:val="auto"/>
              </w:rPr>
              <w:t>(9.9)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Borrowings and repayments of debt</w:t>
      </w:r>
    </w:p>
    <w:p>
      <w:pPr>
        <w:spacing w:after="0" w:line="237" w:lineRule="exact"/>
        <w:rPr>
          <w:sz w:val="20"/>
          <w:szCs w:val="20"/>
          <w:color w:val="auto"/>
        </w:rPr>
      </w:pPr>
    </w:p>
    <w:p>
      <w:pPr>
        <w:ind w:right="120" w:firstLine="648"/>
        <w:spacing w:after="0" w:line="260" w:lineRule="auto"/>
        <w:rPr>
          <w:sz w:val="20"/>
          <w:szCs w:val="20"/>
          <w:color w:val="auto"/>
        </w:rPr>
      </w:pPr>
      <w:r>
        <w:rPr>
          <w:rFonts w:ascii="Arial" w:cs="Arial" w:eastAsia="Arial" w:hAnsi="Arial"/>
          <w:sz w:val="16"/>
          <w:szCs w:val="16"/>
          <w:color w:val="auto"/>
        </w:rPr>
        <w:t>Principal payments on our term loans and other notes payable under our credit facility are made in accordance with debt maturity schedules under the facility.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Shareholders’ equity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dividends of $0.12 per share during the six months ended April 30, 2020. No dividends were paid during the six months ended April 30,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2021.</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Capital resources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3480" w:type="dxa"/>
            <w:vAlign w:val="bottom"/>
            <w:shd w:val="clear" w:color="auto" w:fill="232F84"/>
          </w:tcPr>
          <w:p>
            <w:pPr>
              <w:spacing w:after="0"/>
              <w:rPr>
                <w:sz w:val="18"/>
                <w:szCs w:val="18"/>
                <w:color w:val="auto"/>
              </w:rPr>
            </w:pPr>
          </w:p>
        </w:tc>
        <w:tc>
          <w:tcPr>
            <w:tcW w:w="12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April 30, 2021</w:t>
            </w:r>
          </w:p>
        </w:tc>
        <w:tc>
          <w:tcPr>
            <w:tcW w:w="300" w:type="dxa"/>
            <w:vAlign w:val="bottom"/>
            <w:shd w:val="clear" w:color="auto" w:fill="232F84"/>
          </w:tcPr>
          <w:p>
            <w:pPr>
              <w:spacing w:after="0"/>
              <w:rPr>
                <w:sz w:val="18"/>
                <w:szCs w:val="18"/>
                <w:color w:val="auto"/>
              </w:rPr>
            </w:pPr>
          </w:p>
        </w:tc>
        <w:tc>
          <w:tcPr>
            <w:tcW w:w="13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r>
      <w:tr>
        <w:trPr>
          <w:trHeight w:val="216"/>
        </w:trPr>
        <w:tc>
          <w:tcPr>
            <w:tcW w:w="4880" w:type="dxa"/>
            <w:vAlign w:val="bottom"/>
            <w:shd w:val="clear" w:color="auto" w:fill="43C0B9"/>
          </w:tcPr>
          <w:p>
            <w:pPr>
              <w:ind w:left="20"/>
              <w:spacing w:after="0"/>
              <w:rPr>
                <w:sz w:val="20"/>
                <w:szCs w:val="20"/>
                <w:color w:val="auto"/>
              </w:rPr>
            </w:pPr>
            <w:r>
              <w:rPr>
                <w:rFonts w:ascii="Arial" w:cs="Arial" w:eastAsia="Arial" w:hAnsi="Arial"/>
                <w:sz w:val="14"/>
                <w:szCs w:val="14"/>
                <w:color w:val="auto"/>
              </w:rPr>
              <w:t>Cash and cash equivalents</w:t>
            </w:r>
          </w:p>
        </w:tc>
        <w:tc>
          <w:tcPr>
            <w:tcW w:w="3480" w:type="dxa"/>
            <w:vAlign w:val="bottom"/>
            <w:shd w:val="clear" w:color="auto" w:fill="43C0B9"/>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54.2</w:t>
            </w:r>
          </w:p>
        </w:tc>
        <w:tc>
          <w:tcPr>
            <w:tcW w:w="3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124.0</w:t>
            </w:r>
          </w:p>
        </w:tc>
      </w:tr>
      <w:tr>
        <w:trPr>
          <w:trHeight w:val="21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Working capital</w:t>
            </w:r>
          </w:p>
        </w:tc>
        <w:tc>
          <w:tcPr>
            <w:tcW w:w="3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146.8</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w:t>
            </w:r>
          </w:p>
        </w:tc>
      </w:tr>
    </w:tbl>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98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6"/>
          <w:szCs w:val="16"/>
          <w:color w:val="auto"/>
        </w:rPr>
        <w:t>Capital resources include cash flows from operations, cash and cash equivalents, and debt financing.</w:t>
      </w:r>
    </w:p>
    <w:p>
      <w:pPr>
        <w:spacing w:after="0" w:line="221"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We have a syndicated credit facility with Bank of America, N.A., comprised of two term loans and a revolving credit facility (“revolver”) that provides up to $100 million in borrowings that will expire in October 2023. The credit facility also includes a swing line facility and an accordion feature which allows us to increase the borrowings by up to $125 million, with bank approval. We did not have any outstanding borrowings under the revolver as of April 30, 2021 and October 31, 2020. Interest on the revolver bears rates at a spread over LIBOR that varies with our leverage ratio. As of April 30, 2021 and October 31, 2020, interest rates on the revolver were 1.86% and 1.90%, respectively.</w:t>
      </w:r>
    </w:p>
    <w:p>
      <w:pPr>
        <w:spacing w:after="0" w:line="203" w:lineRule="exact"/>
        <w:rPr>
          <w:sz w:val="20"/>
          <w:szCs w:val="20"/>
          <w:color w:val="auto"/>
        </w:rPr>
      </w:pPr>
    </w:p>
    <w:p>
      <w:pPr>
        <w:ind w:right="100" w:firstLine="648"/>
        <w:spacing w:after="0" w:line="250" w:lineRule="auto"/>
        <w:rPr>
          <w:sz w:val="20"/>
          <w:szCs w:val="20"/>
          <w:color w:val="auto"/>
        </w:rPr>
      </w:pPr>
      <w:r>
        <w:rPr>
          <w:rFonts w:ascii="Arial" w:cs="Arial" w:eastAsia="Arial" w:hAnsi="Arial"/>
          <w:sz w:val="16"/>
          <w:szCs w:val="16"/>
          <w:color w:val="auto"/>
        </w:rPr>
        <w:t>As of April 30, 2021, we were required to comply with the following financial covenants: (a) a quarterly consolidated leverage ratio of not more than 3.00 to 1.00 and (b) a quarterly consolidated fixed charge coverage ratio of not less than 1.50 to 1.00. As of April 30, 2021, our consolidated leverage ratio was 1.76 to 1.00 and our consolidated fixed charge coverage ratio was 2.64 to 1.00 and we were in compliance with all such covenants of the credit facility. The loans are secured by real property, personal property and the capital stock of our subsidiaries. We pay fees on unused commitments on the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Commitments for capital expenditures</w:t>
      </w:r>
    </w:p>
    <w:p>
      <w:pPr>
        <w:spacing w:after="0" w:line="237" w:lineRule="exact"/>
        <w:rPr>
          <w:sz w:val="20"/>
          <w:szCs w:val="20"/>
          <w:color w:val="auto"/>
        </w:rPr>
      </w:pPr>
    </w:p>
    <w:p>
      <w:pPr>
        <w:ind w:right="220" w:firstLine="648"/>
        <w:spacing w:after="0" w:line="260" w:lineRule="auto"/>
        <w:rPr>
          <w:sz w:val="20"/>
          <w:szCs w:val="20"/>
          <w:color w:val="auto"/>
        </w:rPr>
      </w:pPr>
      <w:r>
        <w:rPr>
          <w:rFonts w:ascii="Arial" w:cs="Arial" w:eastAsia="Arial" w:hAnsi="Arial"/>
          <w:sz w:val="16"/>
          <w:szCs w:val="16"/>
          <w:color w:val="auto"/>
        </w:rPr>
        <w:t>We have various capital projects in progress for farming expansion and facility improvements which we intend to fund through our operating cash flow. We expect to spend approximately $35 million on these projects during the second half of fiscal 2021.</w:t>
      </w:r>
    </w:p>
    <w:p>
      <w:pPr>
        <w:spacing w:after="0" w:line="298"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3.</w:t>
      </w:r>
      <w:r>
        <w:rPr>
          <w:sz w:val="20"/>
          <w:szCs w:val="20"/>
          <w:color w:val="auto"/>
        </w:rPr>
        <w:tab/>
      </w:r>
      <w:r>
        <w:rPr>
          <w:rFonts w:ascii="Arial" w:cs="Arial" w:eastAsia="Arial" w:hAnsi="Arial"/>
          <w:sz w:val="25"/>
          <w:szCs w:val="25"/>
          <w:b w:val="1"/>
          <w:bCs w:val="1"/>
          <w:color w:val="232F84"/>
        </w:rPr>
        <w:t>Quantitative and Qualitative Disclosures About Market Risk</w:t>
      </w:r>
    </w:p>
    <w:p>
      <w:pPr>
        <w:spacing w:after="0" w:line="258" w:lineRule="exact"/>
        <w:rPr>
          <w:sz w:val="20"/>
          <w:szCs w:val="20"/>
          <w:color w:val="auto"/>
        </w:rPr>
      </w:pPr>
    </w:p>
    <w:p>
      <w:pPr>
        <w:ind w:right="360" w:firstLine="648"/>
        <w:spacing w:after="0" w:line="260" w:lineRule="auto"/>
        <w:rPr>
          <w:sz w:val="20"/>
          <w:szCs w:val="20"/>
          <w:color w:val="auto"/>
        </w:rPr>
      </w:pPr>
      <w:r>
        <w:rPr>
          <w:rFonts w:ascii="Arial" w:cs="Arial" w:eastAsia="Arial" w:hAnsi="Arial"/>
          <w:sz w:val="16"/>
          <w:szCs w:val="16"/>
          <w:color w:val="auto"/>
        </w:rPr>
        <w:t>There have been no material changes to “Part II, Item 7A. Quantitative and Qualitative Disclosures About Market Risk” in our Annual Report on Form 10-K for the year ended October 31, 2020.</w:t>
      </w:r>
    </w:p>
    <w:p>
      <w:pPr>
        <w:spacing w:after="0" w:line="298"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4.</w:t>
      </w:r>
      <w:r>
        <w:rPr>
          <w:sz w:val="20"/>
          <w:szCs w:val="20"/>
          <w:color w:val="auto"/>
        </w:rPr>
        <w:tab/>
      </w:r>
      <w:r>
        <w:rPr>
          <w:rFonts w:ascii="Arial" w:cs="Arial" w:eastAsia="Arial" w:hAnsi="Arial"/>
          <w:sz w:val="25"/>
          <w:szCs w:val="25"/>
          <w:b w:val="1"/>
          <w:bCs w:val="1"/>
          <w:color w:val="232F84"/>
        </w:rPr>
        <w:t>Controls and Procedures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Evaluation of Disclosure Controls and Procedures</w:t>
      </w:r>
    </w:p>
    <w:p>
      <w:pPr>
        <w:spacing w:after="0" w:line="241" w:lineRule="exact"/>
        <w:rPr>
          <w:sz w:val="20"/>
          <w:szCs w:val="20"/>
          <w:color w:val="auto"/>
        </w:rPr>
      </w:pPr>
    </w:p>
    <w:p>
      <w:pPr>
        <w:ind w:right="180" w:firstLine="648"/>
        <w:spacing w:after="0" w:line="248" w:lineRule="auto"/>
        <w:rPr>
          <w:sz w:val="20"/>
          <w:szCs w:val="20"/>
          <w:color w:val="auto"/>
        </w:rPr>
      </w:pPr>
      <w:r>
        <w:rPr>
          <w:rFonts w:ascii="Arial" w:cs="Arial" w:eastAsia="Arial" w:hAnsi="Arial"/>
          <w:sz w:val="16"/>
          <w:szCs w:val="16"/>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Changes in Internal Control Over Financial Reporting</w:t>
      </w:r>
    </w:p>
    <w:p>
      <w:pPr>
        <w:spacing w:after="0" w:line="241" w:lineRule="exact"/>
        <w:rPr>
          <w:sz w:val="20"/>
          <w:szCs w:val="20"/>
          <w:color w:val="auto"/>
        </w:rPr>
      </w:pPr>
    </w:p>
    <w:p>
      <w:pPr>
        <w:ind w:right="60" w:firstLine="648"/>
        <w:spacing w:after="0" w:line="260"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April 30, 2021 that have materially affected, or are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Limitations on Effectiveness of Controls and Procedures</w:t>
      </w:r>
    </w:p>
    <w:p>
      <w:pPr>
        <w:spacing w:after="0" w:line="241"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005"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25"/>
          <w:szCs w:val="25"/>
          <w:b w:val="1"/>
          <w:bCs w:val="1"/>
          <w:color w:val="232F84"/>
        </w:rPr>
        <w:t>PART II- OTHER INFORMATION</w:t>
      </w:r>
    </w:p>
    <w:p>
      <w:pPr>
        <w:spacing w:after="0" w:line="226"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1.</w:t>
      </w:r>
      <w:r>
        <w:rPr>
          <w:sz w:val="20"/>
          <w:szCs w:val="20"/>
          <w:color w:val="auto"/>
        </w:rPr>
        <w:tab/>
      </w:r>
      <w:r>
        <w:rPr>
          <w:rFonts w:ascii="Arial" w:cs="Arial" w:eastAsia="Arial" w:hAnsi="Arial"/>
          <w:sz w:val="25"/>
          <w:szCs w:val="25"/>
          <w:b w:val="1"/>
          <w:bCs w:val="1"/>
          <w:color w:val="232F84"/>
        </w:rPr>
        <w:t>Legal Proceedings</w:t>
      </w:r>
    </w:p>
    <w:p>
      <w:pPr>
        <w:spacing w:after="0" w:line="258" w:lineRule="exact"/>
        <w:rPr>
          <w:sz w:val="20"/>
          <w:szCs w:val="20"/>
          <w:color w:val="auto"/>
        </w:rPr>
      </w:pPr>
    </w:p>
    <w:p>
      <w:pPr>
        <w:ind w:right="420" w:firstLine="648"/>
        <w:spacing w:after="0" w:line="260" w:lineRule="auto"/>
        <w:rPr>
          <w:sz w:val="20"/>
          <w:szCs w:val="20"/>
          <w:color w:val="auto"/>
        </w:rPr>
      </w:pPr>
      <w:r>
        <w:rPr>
          <w:rFonts w:ascii="Arial" w:cs="Arial" w:eastAsia="Arial" w:hAnsi="Arial"/>
          <w:sz w:val="16"/>
          <w:szCs w:val="16"/>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updates the matter discussed in “Part I, Item 3. Legal Proceedings” in our Annual Report on Form 10-K for the year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31, 2020:</w:t>
      </w:r>
    </w:p>
    <w:p>
      <w:pPr>
        <w:spacing w:after="0" w:line="221"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condensed consolidated statements of comprehensive income (loss) during the three months ended April 30, 2021. This preliminary settlement is subject to approval by the applicable courts.</w:t>
      </w:r>
    </w:p>
    <w:p>
      <w:pPr>
        <w:spacing w:after="0" w:line="395"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304" w:lineRule="exact"/>
        <w:rPr>
          <w:sz w:val="20"/>
          <w:szCs w:val="20"/>
          <w:color w:val="auto"/>
        </w:rPr>
      </w:pPr>
    </w:p>
    <w:p>
      <w:pPr>
        <w:spacing w:after="0"/>
        <w:tabs>
          <w:tab w:leader="none" w:pos="1520" w:val="left"/>
        </w:tabs>
        <w:rPr>
          <w:sz w:val="20"/>
          <w:szCs w:val="20"/>
          <w:color w:val="auto"/>
        </w:rPr>
      </w:pPr>
      <w:r>
        <w:rPr>
          <w:rFonts w:ascii="Arial" w:cs="Arial" w:eastAsia="Arial" w:hAnsi="Arial"/>
          <w:sz w:val="25"/>
          <w:szCs w:val="25"/>
          <w:b w:val="1"/>
          <w:bCs w:val="1"/>
          <w:color w:val="232F84"/>
        </w:rPr>
        <w:t>Item 1A.</w:t>
      </w:r>
      <w:r>
        <w:rPr>
          <w:sz w:val="20"/>
          <w:szCs w:val="20"/>
          <w:color w:val="auto"/>
        </w:rPr>
        <w:tab/>
      </w:r>
      <w:r>
        <w:rPr>
          <w:rFonts w:ascii="Arial" w:cs="Arial" w:eastAsia="Arial" w:hAnsi="Arial"/>
          <w:sz w:val="25"/>
          <w:szCs w:val="25"/>
          <w:b w:val="1"/>
          <w:bCs w:val="1"/>
          <w:color w:val="232F84"/>
        </w:rPr>
        <w:t>Risk Factors</w:t>
      </w:r>
    </w:p>
    <w:p>
      <w:pPr>
        <w:spacing w:after="0" w:line="258" w:lineRule="exact"/>
        <w:rPr>
          <w:sz w:val="20"/>
          <w:szCs w:val="20"/>
          <w:color w:val="auto"/>
        </w:rPr>
      </w:pPr>
    </w:p>
    <w:p>
      <w:pPr>
        <w:ind w:right="100" w:firstLine="648"/>
        <w:spacing w:after="0" w:line="248" w:lineRule="auto"/>
        <w:rPr>
          <w:sz w:val="20"/>
          <w:szCs w:val="20"/>
          <w:color w:val="auto"/>
        </w:rPr>
      </w:pPr>
      <w:r>
        <w:rPr>
          <w:rFonts w:ascii="Arial" w:cs="Arial" w:eastAsia="Arial" w:hAnsi="Arial"/>
          <w:sz w:val="16"/>
          <w:szCs w:val="16"/>
          <w:color w:val="auto"/>
        </w:rPr>
        <w:t>For a discussion of our risk factors, see “Part I, Item 1A. Risk Factors” in our Annual Report on Form 10-K for the year ended October 31, 2020. There have been no material changes from the risk factors set forth in such Annual Report on Form 10-K. However, the risks and uncertainties that we face are not limited to those set forth in the 2020 Form 10-K. You should carefully consider the risk factors in the 2020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311"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2.</w:t>
      </w:r>
      <w:r>
        <w:rPr>
          <w:sz w:val="20"/>
          <w:szCs w:val="20"/>
          <w:color w:val="auto"/>
        </w:rPr>
        <w:tab/>
      </w:r>
      <w:r>
        <w:rPr>
          <w:rFonts w:ascii="Arial" w:cs="Arial" w:eastAsia="Arial" w:hAnsi="Arial"/>
          <w:sz w:val="25"/>
          <w:szCs w:val="25"/>
          <w:b w:val="1"/>
          <w:bCs w:val="1"/>
          <w:color w:val="232F84"/>
        </w:rPr>
        <w:t>Unregistered Sales of Equity Securities and Use of Proceeds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24"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3.</w:t>
      </w:r>
      <w:r>
        <w:rPr>
          <w:sz w:val="20"/>
          <w:szCs w:val="20"/>
          <w:color w:val="auto"/>
        </w:rPr>
        <w:tab/>
      </w:r>
      <w:r>
        <w:rPr>
          <w:rFonts w:ascii="Arial" w:cs="Arial" w:eastAsia="Arial" w:hAnsi="Arial"/>
          <w:sz w:val="25"/>
          <w:szCs w:val="25"/>
          <w:b w:val="1"/>
          <w:bCs w:val="1"/>
          <w:color w:val="232F84"/>
        </w:rPr>
        <w:t>Defaults Upon Senior Securities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24"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4.</w:t>
      </w:r>
      <w:r>
        <w:rPr>
          <w:sz w:val="20"/>
          <w:szCs w:val="20"/>
          <w:color w:val="auto"/>
        </w:rPr>
        <w:tab/>
      </w:r>
      <w:r>
        <w:rPr>
          <w:rFonts w:ascii="Arial" w:cs="Arial" w:eastAsia="Arial" w:hAnsi="Arial"/>
          <w:sz w:val="25"/>
          <w:szCs w:val="25"/>
          <w:b w:val="1"/>
          <w:bCs w:val="1"/>
          <w:color w:val="232F84"/>
        </w:rPr>
        <w:t>Mine Safety Disclosures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24"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5.</w:t>
      </w:r>
      <w:r>
        <w:rPr>
          <w:sz w:val="20"/>
          <w:szCs w:val="20"/>
          <w:color w:val="auto"/>
        </w:rPr>
        <w:tab/>
      </w:r>
      <w:r>
        <w:rPr>
          <w:rFonts w:ascii="Arial" w:cs="Arial" w:eastAsia="Arial" w:hAnsi="Arial"/>
          <w:sz w:val="25"/>
          <w:szCs w:val="25"/>
          <w:b w:val="1"/>
          <w:bCs w:val="1"/>
          <w:color w:val="232F84"/>
        </w:rPr>
        <w:t>Other Information</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0"/>
          </w:cols>
          <w:pgMar w:left="320" w:top="865"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336"/>
        </w:trPr>
        <w:tc>
          <w:tcPr>
            <w:tcW w:w="880" w:type="dxa"/>
            <w:vAlign w:val="bottom"/>
            <w:gridSpan w:val="2"/>
          </w:tcPr>
          <w:p>
            <w:pPr>
              <w:jc w:val="center"/>
              <w:ind w:right="80"/>
              <w:spacing w:after="0"/>
              <w:rPr>
                <w:sz w:val="20"/>
                <w:szCs w:val="20"/>
                <w:color w:val="auto"/>
              </w:rPr>
            </w:pPr>
            <w:r>
              <w:rPr>
                <w:rFonts w:ascii="Arial" w:cs="Arial" w:eastAsia="Arial" w:hAnsi="Arial"/>
                <w:sz w:val="25"/>
                <w:szCs w:val="25"/>
                <w:b w:val="1"/>
                <w:bCs w:val="1"/>
                <w:color w:val="232F84"/>
              </w:rPr>
              <w:t>Item 6.</w:t>
            </w:r>
          </w:p>
        </w:tc>
        <w:tc>
          <w:tcPr>
            <w:tcW w:w="320" w:type="dxa"/>
            <w:vAlign w:val="bottom"/>
          </w:tcPr>
          <w:p>
            <w:pPr>
              <w:spacing w:after="0"/>
              <w:rPr>
                <w:sz w:val="24"/>
                <w:szCs w:val="24"/>
                <w:color w:val="auto"/>
              </w:rPr>
            </w:pPr>
          </w:p>
        </w:tc>
        <w:tc>
          <w:tcPr>
            <w:tcW w:w="6240" w:type="dxa"/>
            <w:vAlign w:val="bottom"/>
            <w:gridSpan w:val="8"/>
          </w:tcPr>
          <w:p>
            <w:pPr>
              <w:ind w:left="160"/>
              <w:spacing w:after="0"/>
              <w:rPr>
                <w:sz w:val="20"/>
                <w:szCs w:val="20"/>
                <w:color w:val="auto"/>
              </w:rPr>
            </w:pPr>
            <w:r>
              <w:rPr>
                <w:rFonts w:ascii="Arial" w:cs="Arial" w:eastAsia="Arial" w:hAnsi="Arial"/>
                <w:sz w:val="25"/>
                <w:szCs w:val="25"/>
                <w:b w:val="1"/>
                <w:bCs w:val="1"/>
                <w:color w:val="232F84"/>
              </w:rPr>
              <w:t>Exhibits</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7440" w:type="dxa"/>
            <w:vAlign w:val="bottom"/>
            <w:gridSpan w:val="11"/>
          </w:tcPr>
          <w:p>
            <w:pPr>
              <w:ind w:left="660"/>
              <w:spacing w:after="0"/>
              <w:rPr>
                <w:sz w:val="20"/>
                <w:szCs w:val="20"/>
                <w:color w:val="auto"/>
              </w:rPr>
            </w:pPr>
            <w:r>
              <w:rPr>
                <w:rFonts w:ascii="Arial" w:cs="Arial" w:eastAsia="Arial" w:hAnsi="Arial"/>
                <w:sz w:val="16"/>
                <w:szCs w:val="16"/>
                <w:color w:val="auto"/>
              </w:rPr>
              <w:t>The documents set forth are filed herewith or incorporated herein by reference.</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20" w:type="dxa"/>
            <w:vAlign w:val="bottom"/>
            <w:gridSpan w:val="6"/>
          </w:tcPr>
          <w:p>
            <w:pPr>
              <w:ind w:left="1200"/>
              <w:spacing w:after="0"/>
              <w:rPr>
                <w:sz w:val="20"/>
                <w:szCs w:val="20"/>
                <w:color w:val="auto"/>
              </w:rPr>
            </w:pPr>
            <w:r>
              <w:rPr>
                <w:rFonts w:ascii="Arial" w:cs="Arial" w:eastAsia="Arial" w:hAnsi="Arial"/>
                <w:sz w:val="20"/>
                <w:szCs w:val="20"/>
                <w:b w:val="1"/>
                <w:bCs w:val="1"/>
                <w:color w:val="232F84"/>
              </w:rPr>
              <w:t>INDEX</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3"/>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80" w:type="dxa"/>
            <w:vAlign w:val="bottom"/>
            <w:shd w:val="clear" w:color="auto" w:fill="232F84"/>
          </w:tcPr>
          <w:p>
            <w:pPr>
              <w:spacing w:after="0"/>
              <w:rPr>
                <w:sz w:val="17"/>
                <w:szCs w:val="17"/>
                <w:color w:val="auto"/>
              </w:rPr>
            </w:pPr>
          </w:p>
        </w:tc>
        <w:tc>
          <w:tcPr>
            <w:tcW w:w="100" w:type="dxa"/>
            <w:vAlign w:val="bottom"/>
            <w:shd w:val="clear" w:color="auto" w:fill="232F84"/>
          </w:tcPr>
          <w:p>
            <w:pPr>
              <w:spacing w:after="0"/>
              <w:rPr>
                <w:sz w:val="17"/>
                <w:szCs w:val="17"/>
                <w:color w:val="auto"/>
              </w:rPr>
            </w:pPr>
          </w:p>
        </w:tc>
        <w:tc>
          <w:tcPr>
            <w:tcW w:w="320" w:type="dxa"/>
            <w:vAlign w:val="bottom"/>
            <w:shd w:val="clear" w:color="auto" w:fill="232F84"/>
          </w:tcPr>
          <w:p>
            <w:pPr>
              <w:spacing w:after="0"/>
              <w:rPr>
                <w:sz w:val="17"/>
                <w:szCs w:val="17"/>
                <w:color w:val="auto"/>
              </w:rPr>
            </w:pPr>
          </w:p>
        </w:tc>
        <w:tc>
          <w:tcPr>
            <w:tcW w:w="1680" w:type="dxa"/>
            <w:vAlign w:val="bottom"/>
            <w:shd w:val="clear" w:color="auto" w:fill="232F84"/>
          </w:tcPr>
          <w:p>
            <w:pPr>
              <w:spacing w:after="0"/>
              <w:rPr>
                <w:sz w:val="17"/>
                <w:szCs w:val="17"/>
                <w:color w:val="auto"/>
              </w:rPr>
            </w:pPr>
          </w:p>
        </w:tc>
        <w:tc>
          <w:tcPr>
            <w:tcW w:w="1240" w:type="dxa"/>
            <w:vAlign w:val="bottom"/>
            <w:shd w:val="clear" w:color="auto" w:fill="232F84"/>
          </w:tcPr>
          <w:p>
            <w:pPr>
              <w:spacing w:after="0"/>
              <w:rPr>
                <w:sz w:val="17"/>
                <w:szCs w:val="17"/>
                <w:color w:val="auto"/>
              </w:rPr>
            </w:pPr>
          </w:p>
        </w:tc>
        <w:tc>
          <w:tcPr>
            <w:tcW w:w="2780" w:type="dxa"/>
            <w:vAlign w:val="bottom"/>
            <w:shd w:val="clear" w:color="auto" w:fill="232F84"/>
          </w:tcPr>
          <w:p>
            <w:pPr>
              <w:spacing w:after="0"/>
              <w:rPr>
                <w:sz w:val="17"/>
                <w:szCs w:val="17"/>
                <w:color w:val="auto"/>
              </w:rPr>
            </w:pPr>
          </w:p>
        </w:tc>
        <w:tc>
          <w:tcPr>
            <w:tcW w:w="60" w:type="dxa"/>
            <w:vAlign w:val="bottom"/>
            <w:shd w:val="clear" w:color="auto" w:fill="232F84"/>
          </w:tcPr>
          <w:p>
            <w:pPr>
              <w:spacing w:after="0"/>
              <w:rPr>
                <w:sz w:val="17"/>
                <w:szCs w:val="17"/>
                <w:color w:val="auto"/>
              </w:rPr>
            </w:pPr>
          </w:p>
        </w:tc>
        <w:tc>
          <w:tcPr>
            <w:tcW w:w="80" w:type="dxa"/>
            <w:vAlign w:val="bottom"/>
            <w:shd w:val="clear" w:color="auto" w:fill="232F84"/>
          </w:tcPr>
          <w:p>
            <w:pPr>
              <w:spacing w:after="0"/>
              <w:rPr>
                <w:sz w:val="17"/>
                <w:szCs w:val="17"/>
                <w:color w:val="auto"/>
              </w:rPr>
            </w:pPr>
          </w:p>
        </w:tc>
        <w:tc>
          <w:tcPr>
            <w:tcW w:w="60" w:type="dxa"/>
            <w:vAlign w:val="bottom"/>
            <w:shd w:val="clear" w:color="auto" w:fill="232F84"/>
          </w:tcPr>
          <w:p>
            <w:pPr>
              <w:spacing w:after="0"/>
              <w:rPr>
                <w:sz w:val="17"/>
                <w:szCs w:val="17"/>
                <w:color w:val="auto"/>
              </w:rPr>
            </w:pPr>
          </w:p>
        </w:tc>
        <w:tc>
          <w:tcPr>
            <w:tcW w:w="120" w:type="dxa"/>
            <w:vAlign w:val="bottom"/>
            <w:shd w:val="clear" w:color="auto" w:fill="232F84"/>
          </w:tcPr>
          <w:p>
            <w:pPr>
              <w:spacing w:after="0"/>
              <w:rPr>
                <w:sz w:val="17"/>
                <w:szCs w:val="17"/>
                <w:color w:val="auto"/>
              </w:rPr>
            </w:pPr>
          </w:p>
        </w:tc>
        <w:tc>
          <w:tcPr>
            <w:tcW w:w="220" w:type="dxa"/>
            <w:vAlign w:val="bottom"/>
            <w:shd w:val="clear" w:color="auto" w:fill="232F84"/>
          </w:tcPr>
          <w:p>
            <w:pPr>
              <w:spacing w:after="0"/>
              <w:rPr>
                <w:sz w:val="17"/>
                <w:szCs w:val="17"/>
                <w:color w:val="auto"/>
              </w:rPr>
            </w:pPr>
          </w:p>
        </w:tc>
        <w:tc>
          <w:tcPr>
            <w:tcW w:w="2760" w:type="dxa"/>
            <w:vAlign w:val="bottom"/>
            <w:gridSpan w:val="3"/>
            <w:shd w:val="clear" w:color="auto" w:fill="232F84"/>
          </w:tcPr>
          <w:p>
            <w:pPr>
              <w:ind w:left="460"/>
              <w:spacing w:after="0"/>
              <w:rPr>
                <w:sz w:val="20"/>
                <w:szCs w:val="20"/>
                <w:color w:val="auto"/>
              </w:rPr>
            </w:pPr>
            <w:r>
              <w:rPr>
                <w:rFonts w:ascii="Arial" w:cs="Arial" w:eastAsia="Arial" w:hAnsi="Arial"/>
                <w:sz w:val="14"/>
                <w:szCs w:val="14"/>
                <w:b w:val="1"/>
                <w:bCs w:val="1"/>
                <w:color w:val="FFFFFF"/>
              </w:rPr>
              <w:t>Incorporated by Reference</w:t>
            </w:r>
          </w:p>
        </w:tc>
        <w:tc>
          <w:tcPr>
            <w:tcW w:w="980" w:type="dxa"/>
            <w:vAlign w:val="bottom"/>
            <w:shd w:val="clear" w:color="auto" w:fill="232F84"/>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80" w:type="dxa"/>
            <w:vAlign w:val="bottom"/>
            <w:vMerge w:val="restart"/>
            <w:shd w:val="clear" w:color="auto" w:fill="232F84"/>
          </w:tcPr>
          <w:p>
            <w:pPr>
              <w:jc w:val="center"/>
              <w:spacing w:after="0"/>
              <w:rPr>
                <w:sz w:val="20"/>
                <w:szCs w:val="20"/>
                <w:color w:val="auto"/>
              </w:rPr>
            </w:pPr>
            <w:r>
              <w:rPr>
                <w:rFonts w:ascii="Arial" w:cs="Arial" w:eastAsia="Arial" w:hAnsi="Arial"/>
                <w:sz w:val="14"/>
                <w:szCs w:val="14"/>
                <w:b w:val="1"/>
                <w:bCs w:val="1"/>
                <w:color w:val="FFFFFF"/>
              </w:rPr>
              <w:t>Exhibit</w:t>
            </w:r>
          </w:p>
        </w:tc>
        <w:tc>
          <w:tcPr>
            <w:tcW w:w="100" w:type="dxa"/>
            <w:vAlign w:val="bottom"/>
            <w:shd w:val="clear" w:color="auto" w:fill="232F84"/>
          </w:tcPr>
          <w:p>
            <w:pPr>
              <w:spacing w:after="0"/>
              <w:rPr>
                <w:sz w:val="2"/>
                <w:szCs w:val="2"/>
                <w:color w:val="auto"/>
              </w:rPr>
            </w:pPr>
          </w:p>
        </w:tc>
        <w:tc>
          <w:tcPr>
            <w:tcW w:w="320" w:type="dxa"/>
            <w:vAlign w:val="bottom"/>
            <w:shd w:val="clear" w:color="auto" w:fill="232F84"/>
          </w:tcPr>
          <w:p>
            <w:pPr>
              <w:spacing w:after="0"/>
              <w:rPr>
                <w:sz w:val="2"/>
                <w:szCs w:val="2"/>
                <w:color w:val="auto"/>
              </w:rPr>
            </w:pPr>
          </w:p>
        </w:tc>
        <w:tc>
          <w:tcPr>
            <w:tcW w:w="1680" w:type="dxa"/>
            <w:vAlign w:val="bottom"/>
            <w:shd w:val="clear" w:color="auto" w:fill="232F84"/>
          </w:tcPr>
          <w:p>
            <w:pPr>
              <w:spacing w:after="0"/>
              <w:rPr>
                <w:sz w:val="2"/>
                <w:szCs w:val="2"/>
                <w:color w:val="auto"/>
              </w:rPr>
            </w:pPr>
          </w:p>
        </w:tc>
        <w:tc>
          <w:tcPr>
            <w:tcW w:w="1240" w:type="dxa"/>
            <w:vAlign w:val="bottom"/>
            <w:shd w:val="clear" w:color="auto" w:fill="232F84"/>
          </w:tcPr>
          <w:p>
            <w:pPr>
              <w:spacing w:after="0"/>
              <w:rPr>
                <w:sz w:val="2"/>
                <w:szCs w:val="2"/>
                <w:color w:val="auto"/>
              </w:rPr>
            </w:pPr>
          </w:p>
        </w:tc>
        <w:tc>
          <w:tcPr>
            <w:tcW w:w="2780" w:type="dxa"/>
            <w:vAlign w:val="bottom"/>
            <w:shd w:val="clear" w:color="auto" w:fill="232F84"/>
          </w:tcPr>
          <w:p>
            <w:pPr>
              <w:spacing w:after="0"/>
              <w:rPr>
                <w:sz w:val="2"/>
                <w:szCs w:val="2"/>
                <w:color w:val="auto"/>
              </w:rPr>
            </w:pPr>
          </w:p>
        </w:tc>
        <w:tc>
          <w:tcPr>
            <w:tcW w:w="60" w:type="dxa"/>
            <w:vAlign w:val="bottom"/>
            <w:shd w:val="clear" w:color="auto" w:fill="232F84"/>
          </w:tcPr>
          <w:p>
            <w:pPr>
              <w:spacing w:after="0"/>
              <w:rPr>
                <w:sz w:val="2"/>
                <w:szCs w:val="2"/>
                <w:color w:val="auto"/>
              </w:rPr>
            </w:pPr>
          </w:p>
        </w:tc>
        <w:tc>
          <w:tcPr>
            <w:tcW w:w="80" w:type="dxa"/>
            <w:vAlign w:val="bottom"/>
            <w:shd w:val="clear" w:color="auto" w:fill="232F84"/>
          </w:tcPr>
          <w:p>
            <w:pPr>
              <w:spacing w:after="0"/>
              <w:rPr>
                <w:sz w:val="2"/>
                <w:szCs w:val="2"/>
                <w:color w:val="auto"/>
              </w:rPr>
            </w:pPr>
          </w:p>
        </w:tc>
        <w:tc>
          <w:tcPr>
            <w:tcW w:w="60" w:type="dxa"/>
            <w:vAlign w:val="bottom"/>
            <w:shd w:val="clear" w:color="auto" w:fill="232F84"/>
          </w:tcPr>
          <w:p>
            <w:pPr>
              <w:spacing w:after="0"/>
              <w:rPr>
                <w:sz w:val="2"/>
                <w:szCs w:val="2"/>
                <w:color w:val="auto"/>
              </w:rPr>
            </w:pPr>
          </w:p>
        </w:tc>
        <w:tc>
          <w:tcPr>
            <w:tcW w:w="120" w:type="dxa"/>
            <w:vAlign w:val="bottom"/>
            <w:shd w:val="clear" w:color="auto" w:fill="232F84"/>
          </w:tcPr>
          <w:p>
            <w:pPr>
              <w:spacing w:after="0"/>
              <w:rPr>
                <w:sz w:val="2"/>
                <w:szCs w:val="2"/>
                <w:color w:val="auto"/>
              </w:rPr>
            </w:pPr>
          </w:p>
        </w:tc>
        <w:tc>
          <w:tcPr>
            <w:tcW w:w="220" w:type="dxa"/>
            <w:vAlign w:val="bottom"/>
            <w:shd w:val="clear" w:color="auto" w:fill="232F84"/>
          </w:tcPr>
          <w:p>
            <w:pPr>
              <w:spacing w:after="0"/>
              <w:rPr>
                <w:sz w:val="2"/>
                <w:szCs w:val="2"/>
                <w:color w:val="auto"/>
              </w:rPr>
            </w:pPr>
          </w:p>
        </w:tc>
        <w:tc>
          <w:tcPr>
            <w:tcW w:w="700" w:type="dxa"/>
            <w:vAlign w:val="bottom"/>
            <w:shd w:val="clear" w:color="auto" w:fill="232F84"/>
          </w:tcPr>
          <w:p>
            <w:pPr>
              <w:spacing w:after="0"/>
              <w:rPr>
                <w:sz w:val="2"/>
                <w:szCs w:val="2"/>
                <w:color w:val="auto"/>
              </w:rPr>
            </w:pPr>
          </w:p>
        </w:tc>
        <w:tc>
          <w:tcPr>
            <w:tcW w:w="1120" w:type="dxa"/>
            <w:vAlign w:val="bottom"/>
            <w:shd w:val="clear" w:color="auto" w:fill="232F84"/>
          </w:tcPr>
          <w:p>
            <w:pPr>
              <w:spacing w:after="0"/>
              <w:rPr>
                <w:sz w:val="2"/>
                <w:szCs w:val="2"/>
                <w:color w:val="auto"/>
              </w:rPr>
            </w:pPr>
          </w:p>
        </w:tc>
        <w:tc>
          <w:tcPr>
            <w:tcW w:w="940" w:type="dxa"/>
            <w:vAlign w:val="bottom"/>
            <w:shd w:val="clear" w:color="auto" w:fill="232F84"/>
          </w:tcPr>
          <w:p>
            <w:pPr>
              <w:spacing w:after="0"/>
              <w:rPr>
                <w:sz w:val="2"/>
                <w:szCs w:val="2"/>
                <w:color w:val="auto"/>
              </w:rPr>
            </w:pPr>
          </w:p>
        </w:tc>
        <w:tc>
          <w:tcPr>
            <w:tcW w:w="980" w:type="dxa"/>
            <w:vAlign w:val="bottom"/>
            <w:vMerge w:val="restart"/>
            <w:shd w:val="clear" w:color="auto" w:fill="232F84"/>
          </w:tcPr>
          <w:p>
            <w:pPr>
              <w:jc w:val="center"/>
              <w:ind w:left="48"/>
              <w:spacing w:after="0"/>
              <w:rPr>
                <w:sz w:val="20"/>
                <w:szCs w:val="20"/>
                <w:color w:val="auto"/>
              </w:rPr>
            </w:pPr>
            <w:r>
              <w:rPr>
                <w:rFonts w:ascii="Arial" w:cs="Arial" w:eastAsia="Arial" w:hAnsi="Arial"/>
                <w:sz w:val="14"/>
                <w:szCs w:val="14"/>
                <w:b w:val="1"/>
                <w:bCs w:val="1"/>
                <w:color w:val="FFFFFF"/>
              </w:rPr>
              <w:t>Filed</w:t>
            </w:r>
          </w:p>
        </w:tc>
        <w:tc>
          <w:tcPr>
            <w:tcW w:w="0" w:type="dxa"/>
            <w:vAlign w:val="bottom"/>
          </w:tcPr>
          <w:p>
            <w:pPr>
              <w:spacing w:after="0" w:line="20" w:lineRule="exact"/>
              <w:rPr>
                <w:sz w:val="1"/>
                <w:szCs w:val="1"/>
                <w:color w:val="auto"/>
              </w:rPr>
            </w:pPr>
          </w:p>
        </w:tc>
      </w:tr>
      <w:tr>
        <w:trPr>
          <w:trHeight w:val="162"/>
        </w:trPr>
        <w:tc>
          <w:tcPr>
            <w:tcW w:w="780" w:type="dxa"/>
            <w:vAlign w:val="bottom"/>
            <w:vMerge w:val="continue"/>
            <w:shd w:val="clear" w:color="auto" w:fill="232F84"/>
          </w:tcPr>
          <w:p>
            <w:pPr>
              <w:spacing w:after="0"/>
              <w:rPr>
                <w:sz w:val="14"/>
                <w:szCs w:val="14"/>
                <w:color w:val="auto"/>
              </w:rPr>
            </w:pPr>
          </w:p>
        </w:tc>
        <w:tc>
          <w:tcPr>
            <w:tcW w:w="100" w:type="dxa"/>
            <w:vAlign w:val="bottom"/>
            <w:shd w:val="clear" w:color="auto" w:fill="232F84"/>
          </w:tcPr>
          <w:p>
            <w:pPr>
              <w:spacing w:after="0"/>
              <w:rPr>
                <w:sz w:val="14"/>
                <w:szCs w:val="14"/>
                <w:color w:val="auto"/>
              </w:rPr>
            </w:pPr>
          </w:p>
        </w:tc>
        <w:tc>
          <w:tcPr>
            <w:tcW w:w="320" w:type="dxa"/>
            <w:vAlign w:val="bottom"/>
            <w:shd w:val="clear" w:color="auto" w:fill="232F84"/>
          </w:tcPr>
          <w:p>
            <w:pPr>
              <w:spacing w:after="0"/>
              <w:rPr>
                <w:sz w:val="14"/>
                <w:szCs w:val="14"/>
                <w:color w:val="auto"/>
              </w:rPr>
            </w:pPr>
          </w:p>
        </w:tc>
        <w:tc>
          <w:tcPr>
            <w:tcW w:w="1680" w:type="dxa"/>
            <w:vAlign w:val="bottom"/>
            <w:shd w:val="clear" w:color="auto" w:fill="232F84"/>
          </w:tcPr>
          <w:p>
            <w:pPr>
              <w:spacing w:after="0"/>
              <w:rPr>
                <w:sz w:val="14"/>
                <w:szCs w:val="14"/>
                <w:color w:val="auto"/>
              </w:rPr>
            </w:pPr>
          </w:p>
        </w:tc>
        <w:tc>
          <w:tcPr>
            <w:tcW w:w="1240" w:type="dxa"/>
            <w:vAlign w:val="bottom"/>
            <w:shd w:val="clear" w:color="auto" w:fill="232F84"/>
          </w:tcPr>
          <w:p>
            <w:pPr>
              <w:spacing w:after="0"/>
              <w:rPr>
                <w:sz w:val="14"/>
                <w:szCs w:val="14"/>
                <w:color w:val="auto"/>
              </w:rPr>
            </w:pPr>
          </w:p>
        </w:tc>
        <w:tc>
          <w:tcPr>
            <w:tcW w:w="2780" w:type="dxa"/>
            <w:vAlign w:val="bottom"/>
            <w:shd w:val="clear" w:color="auto" w:fill="232F84"/>
          </w:tcPr>
          <w:p>
            <w:pPr>
              <w:spacing w:after="0"/>
              <w:rPr>
                <w:sz w:val="14"/>
                <w:szCs w:val="14"/>
                <w:color w:val="auto"/>
              </w:rPr>
            </w:pPr>
          </w:p>
        </w:tc>
        <w:tc>
          <w:tcPr>
            <w:tcW w:w="60" w:type="dxa"/>
            <w:vAlign w:val="bottom"/>
            <w:shd w:val="clear" w:color="auto" w:fill="232F84"/>
          </w:tcPr>
          <w:p>
            <w:pPr>
              <w:spacing w:after="0"/>
              <w:rPr>
                <w:sz w:val="14"/>
                <w:szCs w:val="14"/>
                <w:color w:val="auto"/>
              </w:rPr>
            </w:pPr>
          </w:p>
        </w:tc>
        <w:tc>
          <w:tcPr>
            <w:tcW w:w="80" w:type="dxa"/>
            <w:vAlign w:val="bottom"/>
            <w:shd w:val="clear" w:color="auto" w:fill="232F84"/>
          </w:tcPr>
          <w:p>
            <w:pPr>
              <w:spacing w:after="0"/>
              <w:rPr>
                <w:sz w:val="14"/>
                <w:szCs w:val="14"/>
                <w:color w:val="auto"/>
              </w:rPr>
            </w:pPr>
          </w:p>
        </w:tc>
        <w:tc>
          <w:tcPr>
            <w:tcW w:w="60" w:type="dxa"/>
            <w:vAlign w:val="bottom"/>
            <w:shd w:val="clear" w:color="auto" w:fill="232F84"/>
          </w:tcPr>
          <w:p>
            <w:pPr>
              <w:spacing w:after="0"/>
              <w:rPr>
                <w:sz w:val="14"/>
                <w:szCs w:val="14"/>
                <w:color w:val="auto"/>
              </w:rPr>
            </w:pPr>
          </w:p>
        </w:tc>
        <w:tc>
          <w:tcPr>
            <w:tcW w:w="120" w:type="dxa"/>
            <w:vAlign w:val="bottom"/>
            <w:shd w:val="clear" w:color="auto" w:fill="232F84"/>
          </w:tcPr>
          <w:p>
            <w:pPr>
              <w:spacing w:after="0"/>
              <w:rPr>
                <w:sz w:val="14"/>
                <w:szCs w:val="14"/>
                <w:color w:val="auto"/>
              </w:rPr>
            </w:pPr>
          </w:p>
        </w:tc>
        <w:tc>
          <w:tcPr>
            <w:tcW w:w="220" w:type="dxa"/>
            <w:vAlign w:val="bottom"/>
            <w:shd w:val="clear" w:color="auto" w:fill="232F84"/>
          </w:tcPr>
          <w:p>
            <w:pPr>
              <w:spacing w:after="0"/>
              <w:rPr>
                <w:sz w:val="14"/>
                <w:szCs w:val="14"/>
                <w:color w:val="auto"/>
              </w:rPr>
            </w:pPr>
          </w:p>
        </w:tc>
        <w:tc>
          <w:tcPr>
            <w:tcW w:w="700" w:type="dxa"/>
            <w:vAlign w:val="bottom"/>
            <w:shd w:val="clear" w:color="auto" w:fill="232F84"/>
          </w:tcPr>
          <w:p>
            <w:pPr>
              <w:spacing w:after="0"/>
              <w:rPr>
                <w:sz w:val="14"/>
                <w:szCs w:val="14"/>
                <w:color w:val="auto"/>
              </w:rPr>
            </w:pPr>
          </w:p>
        </w:tc>
        <w:tc>
          <w:tcPr>
            <w:tcW w:w="1120" w:type="dxa"/>
            <w:vAlign w:val="bottom"/>
            <w:shd w:val="clear" w:color="auto" w:fill="232F84"/>
          </w:tcPr>
          <w:p>
            <w:pPr>
              <w:spacing w:after="0"/>
              <w:rPr>
                <w:sz w:val="14"/>
                <w:szCs w:val="14"/>
                <w:color w:val="auto"/>
              </w:rPr>
            </w:pPr>
          </w:p>
        </w:tc>
        <w:tc>
          <w:tcPr>
            <w:tcW w:w="940" w:type="dxa"/>
            <w:vAlign w:val="bottom"/>
            <w:shd w:val="clear" w:color="auto" w:fill="232F84"/>
          </w:tcPr>
          <w:p>
            <w:pPr>
              <w:spacing w:after="0"/>
              <w:rPr>
                <w:sz w:val="14"/>
                <w:szCs w:val="14"/>
                <w:color w:val="auto"/>
              </w:rPr>
            </w:pPr>
          </w:p>
        </w:tc>
        <w:tc>
          <w:tcPr>
            <w:tcW w:w="980" w:type="dxa"/>
            <w:vAlign w:val="bottom"/>
            <w:vMerge w:val="continue"/>
            <w:shd w:val="clear" w:color="auto" w:fill="232F84"/>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80" w:type="dxa"/>
            <w:vAlign w:val="bottom"/>
            <w:shd w:val="clear" w:color="auto" w:fill="232F84"/>
          </w:tcPr>
          <w:p>
            <w:pPr>
              <w:jc w:val="center"/>
              <w:spacing w:after="0"/>
              <w:rPr>
                <w:sz w:val="20"/>
                <w:szCs w:val="20"/>
                <w:color w:val="auto"/>
              </w:rPr>
            </w:pPr>
            <w:r>
              <w:rPr>
                <w:rFonts w:ascii="Arial" w:cs="Arial" w:eastAsia="Arial" w:hAnsi="Arial"/>
                <w:sz w:val="14"/>
                <w:szCs w:val="14"/>
                <w:b w:val="1"/>
                <w:bCs w:val="1"/>
                <w:color w:val="FFFFFF"/>
                <w:w w:val="97"/>
              </w:rPr>
              <w:t>No.</w:t>
            </w:r>
          </w:p>
        </w:tc>
        <w:tc>
          <w:tcPr>
            <w:tcW w:w="100" w:type="dxa"/>
            <w:vAlign w:val="bottom"/>
            <w:shd w:val="clear" w:color="auto" w:fill="232F84"/>
          </w:tcPr>
          <w:p>
            <w:pPr>
              <w:spacing w:after="0"/>
              <w:rPr>
                <w:sz w:val="17"/>
                <w:szCs w:val="17"/>
                <w:color w:val="auto"/>
              </w:rPr>
            </w:pPr>
          </w:p>
        </w:tc>
        <w:tc>
          <w:tcPr>
            <w:tcW w:w="320" w:type="dxa"/>
            <w:vAlign w:val="bottom"/>
            <w:shd w:val="clear" w:color="auto" w:fill="232F84"/>
          </w:tcPr>
          <w:p>
            <w:pPr>
              <w:spacing w:after="0"/>
              <w:rPr>
                <w:sz w:val="17"/>
                <w:szCs w:val="17"/>
                <w:color w:val="auto"/>
              </w:rPr>
            </w:pPr>
          </w:p>
        </w:tc>
        <w:tc>
          <w:tcPr>
            <w:tcW w:w="1680" w:type="dxa"/>
            <w:vAlign w:val="bottom"/>
            <w:shd w:val="clear" w:color="auto" w:fill="232F84"/>
          </w:tcPr>
          <w:p>
            <w:pPr>
              <w:spacing w:after="0"/>
              <w:rPr>
                <w:sz w:val="17"/>
                <w:szCs w:val="17"/>
                <w:color w:val="auto"/>
              </w:rPr>
            </w:pPr>
          </w:p>
        </w:tc>
        <w:tc>
          <w:tcPr>
            <w:tcW w:w="4560" w:type="dxa"/>
            <w:vAlign w:val="bottom"/>
            <w:gridSpan w:val="7"/>
            <w:shd w:val="clear" w:color="auto" w:fill="232F84"/>
          </w:tcPr>
          <w:p>
            <w:pPr>
              <w:ind w:left="540"/>
              <w:spacing w:after="0"/>
              <w:rPr>
                <w:sz w:val="20"/>
                <w:szCs w:val="20"/>
                <w:color w:val="auto"/>
              </w:rPr>
            </w:pPr>
            <w:r>
              <w:rPr>
                <w:rFonts w:ascii="Arial" w:cs="Arial" w:eastAsia="Arial" w:hAnsi="Arial"/>
                <w:sz w:val="14"/>
                <w:szCs w:val="14"/>
                <w:b w:val="1"/>
                <w:bCs w:val="1"/>
                <w:color w:val="FFFFFF"/>
              </w:rPr>
              <w:t>Exhibit Description</w:t>
            </w:r>
          </w:p>
        </w:tc>
        <w:tc>
          <w:tcPr>
            <w:tcW w:w="700" w:type="dxa"/>
            <w:vAlign w:val="bottom"/>
            <w:shd w:val="clear" w:color="auto" w:fill="232F84"/>
          </w:tcPr>
          <w:p>
            <w:pPr>
              <w:jc w:val="center"/>
              <w:ind w:right="28"/>
              <w:spacing w:after="0"/>
              <w:rPr>
                <w:sz w:val="20"/>
                <w:szCs w:val="20"/>
                <w:color w:val="auto"/>
              </w:rPr>
            </w:pPr>
            <w:r>
              <w:rPr>
                <w:rFonts w:ascii="Arial" w:cs="Arial" w:eastAsia="Arial" w:hAnsi="Arial"/>
                <w:sz w:val="14"/>
                <w:szCs w:val="14"/>
                <w:b w:val="1"/>
                <w:bCs w:val="1"/>
                <w:color w:val="FFFFFF"/>
              </w:rPr>
              <w:t>Form</w:t>
            </w:r>
          </w:p>
        </w:tc>
        <w:tc>
          <w:tcPr>
            <w:tcW w:w="1120" w:type="dxa"/>
            <w:vAlign w:val="bottom"/>
            <w:shd w:val="clear" w:color="auto" w:fill="232F84"/>
          </w:tcPr>
          <w:p>
            <w:pPr>
              <w:jc w:val="center"/>
              <w:spacing w:after="0"/>
              <w:rPr>
                <w:sz w:val="20"/>
                <w:szCs w:val="20"/>
                <w:color w:val="auto"/>
              </w:rPr>
            </w:pPr>
            <w:r>
              <w:rPr>
                <w:rFonts w:ascii="Arial" w:cs="Arial" w:eastAsia="Arial" w:hAnsi="Arial"/>
                <w:sz w:val="14"/>
                <w:szCs w:val="14"/>
                <w:b w:val="1"/>
                <w:bCs w:val="1"/>
                <w:color w:val="FFFFFF"/>
              </w:rPr>
              <w:t>Date</w:t>
            </w:r>
          </w:p>
        </w:tc>
        <w:tc>
          <w:tcPr>
            <w:tcW w:w="940" w:type="dxa"/>
            <w:vAlign w:val="bottom"/>
            <w:shd w:val="clear" w:color="auto" w:fill="232F84"/>
          </w:tcPr>
          <w:p>
            <w:pPr>
              <w:jc w:val="center"/>
              <w:ind w:left="48"/>
              <w:spacing w:after="0"/>
              <w:rPr>
                <w:sz w:val="20"/>
                <w:szCs w:val="20"/>
                <w:color w:val="auto"/>
              </w:rPr>
            </w:pPr>
            <w:r>
              <w:rPr>
                <w:rFonts w:ascii="Arial" w:cs="Arial" w:eastAsia="Arial" w:hAnsi="Arial"/>
                <w:sz w:val="14"/>
                <w:szCs w:val="14"/>
                <w:b w:val="1"/>
                <w:bCs w:val="1"/>
                <w:color w:val="FFFFFF"/>
              </w:rPr>
              <w:t>Number</w:t>
            </w:r>
          </w:p>
        </w:tc>
        <w:tc>
          <w:tcPr>
            <w:tcW w:w="980" w:type="dxa"/>
            <w:vAlign w:val="bottom"/>
            <w:shd w:val="clear" w:color="auto" w:fill="232F84"/>
          </w:tcPr>
          <w:p>
            <w:pPr>
              <w:jc w:val="center"/>
              <w:ind w:left="68"/>
              <w:spacing w:after="0"/>
              <w:rPr>
                <w:sz w:val="20"/>
                <w:szCs w:val="20"/>
                <w:color w:val="auto"/>
              </w:rPr>
            </w:pPr>
            <w:r>
              <w:rPr>
                <w:rFonts w:ascii="Arial" w:cs="Arial" w:eastAsia="Arial" w:hAnsi="Arial"/>
                <w:sz w:val="14"/>
                <w:szCs w:val="14"/>
                <w:b w:val="1"/>
                <w:bCs w:val="1"/>
                <w:color w:val="FFFFFF"/>
              </w:rPr>
              <w:t>Herewith</w:t>
            </w:r>
          </w:p>
        </w:tc>
        <w:tc>
          <w:tcPr>
            <w:tcW w:w="0" w:type="dxa"/>
            <w:vAlign w:val="bottom"/>
          </w:tcPr>
          <w:p>
            <w:pPr>
              <w:spacing w:after="0"/>
              <w:rPr>
                <w:sz w:val="1"/>
                <w:szCs w:val="1"/>
                <w:color w:val="auto"/>
              </w:rPr>
            </w:pPr>
          </w:p>
        </w:tc>
      </w:tr>
      <w:tr>
        <w:trPr>
          <w:trHeight w:val="196"/>
        </w:trPr>
        <w:tc>
          <w:tcPr>
            <w:tcW w:w="780" w:type="dxa"/>
            <w:vAlign w:val="bottom"/>
            <w:tcBorders>
              <w:bottom w:val="single" w:sz="8" w:color="43C0B9"/>
            </w:tcBorders>
            <w:shd w:val="clear" w:color="auto" w:fill="43C0B9"/>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43C0B9"/>
            </w:tcBorders>
            <w:shd w:val="clear" w:color="auto" w:fill="43C0B9"/>
          </w:tcPr>
          <w:p>
            <w:pPr>
              <w:spacing w:after="0"/>
              <w:rPr>
                <w:sz w:val="17"/>
                <w:szCs w:val="17"/>
                <w:color w:val="auto"/>
              </w:rPr>
            </w:pPr>
          </w:p>
        </w:tc>
        <w:tc>
          <w:tcPr>
            <w:tcW w:w="3240" w:type="dxa"/>
            <w:vAlign w:val="bottom"/>
            <w:tcBorders>
              <w:bottom w:val="single" w:sz="8" w:color="0000FF"/>
            </w:tcBorders>
            <w:gridSpan w:val="3"/>
            <w:shd w:val="clear" w:color="auto" w:fill="43C0B9"/>
          </w:tcPr>
          <w:p>
            <w:pPr>
              <w:spacing w:after="0"/>
              <w:rPr>
                <w:rFonts w:ascii="Arial" w:cs="Arial" w:eastAsia="Arial" w:hAnsi="Arial"/>
                <w:sz w:val="14"/>
                <w:szCs w:val="14"/>
                <w:color w:val="0000FF"/>
              </w:rPr>
            </w:pPr>
            <w:hyperlink r:id="rId14">
              <w:r>
                <w:rPr>
                  <w:rFonts w:ascii="Arial" w:cs="Arial" w:eastAsia="Arial" w:hAnsi="Arial"/>
                  <w:sz w:val="14"/>
                  <w:szCs w:val="14"/>
                  <w:color w:val="0000FF"/>
                </w:rPr>
                <w:t>Amended and Restated Certificate of Incorporation</w:t>
              </w:r>
            </w:hyperlink>
          </w:p>
        </w:tc>
        <w:tc>
          <w:tcPr>
            <w:tcW w:w="3320" w:type="dxa"/>
            <w:vAlign w:val="bottom"/>
            <w:tcBorders>
              <w:bottom w:val="single" w:sz="8" w:color="43C0B9"/>
            </w:tcBorders>
            <w:gridSpan w:val="6"/>
            <w:shd w:val="clear" w:color="auto" w:fill="43C0B9"/>
          </w:tcPr>
          <w:p>
            <w:pPr>
              <w:spacing w:after="0"/>
              <w:rPr>
                <w:sz w:val="17"/>
                <w:szCs w:val="17"/>
                <w:color w:val="auto"/>
              </w:rPr>
            </w:pPr>
          </w:p>
        </w:tc>
        <w:tc>
          <w:tcPr>
            <w:tcW w:w="700" w:type="dxa"/>
            <w:vAlign w:val="bottom"/>
            <w:tcBorders>
              <w:bottom w:val="single" w:sz="8" w:color="43C0B9"/>
            </w:tcBorders>
            <w:shd w:val="clear" w:color="auto" w:fill="43C0B9"/>
          </w:tcPr>
          <w:p>
            <w:pPr>
              <w:jc w:val="center"/>
              <w:ind w:right="48"/>
              <w:spacing w:after="0"/>
              <w:rPr>
                <w:sz w:val="20"/>
                <w:szCs w:val="20"/>
                <w:color w:val="auto"/>
              </w:rPr>
            </w:pPr>
            <w:r>
              <w:rPr>
                <w:rFonts w:ascii="Arial" w:cs="Arial" w:eastAsia="Arial" w:hAnsi="Arial"/>
                <w:sz w:val="14"/>
                <w:szCs w:val="14"/>
                <w:color w:val="auto"/>
              </w:rPr>
              <w:t>8-K</w:t>
            </w:r>
          </w:p>
        </w:tc>
        <w:tc>
          <w:tcPr>
            <w:tcW w:w="1120" w:type="dxa"/>
            <w:vAlign w:val="bottom"/>
            <w:tcBorders>
              <w:bottom w:val="single" w:sz="8" w:color="43C0B9"/>
            </w:tcBorders>
            <w:shd w:val="clear" w:color="auto" w:fill="43C0B9"/>
          </w:tcPr>
          <w:p>
            <w:pPr>
              <w:jc w:val="center"/>
              <w:spacing w:after="0"/>
              <w:rPr>
                <w:sz w:val="20"/>
                <w:szCs w:val="20"/>
                <w:color w:val="auto"/>
              </w:rPr>
            </w:pPr>
            <w:r>
              <w:rPr>
                <w:rFonts w:ascii="Arial" w:cs="Arial" w:eastAsia="Arial" w:hAnsi="Arial"/>
                <w:sz w:val="14"/>
                <w:szCs w:val="14"/>
                <w:color w:val="auto"/>
              </w:rPr>
              <w:t>10/7/2020</w:t>
            </w:r>
          </w:p>
        </w:tc>
        <w:tc>
          <w:tcPr>
            <w:tcW w:w="940" w:type="dxa"/>
            <w:vAlign w:val="bottom"/>
            <w:tcBorders>
              <w:bottom w:val="single" w:sz="8" w:color="43C0B9"/>
            </w:tcBorders>
            <w:shd w:val="clear" w:color="auto" w:fill="43C0B9"/>
          </w:tcPr>
          <w:p>
            <w:pPr>
              <w:jc w:val="center"/>
              <w:ind w:left="28"/>
              <w:spacing w:after="0"/>
              <w:rPr>
                <w:sz w:val="20"/>
                <w:szCs w:val="20"/>
                <w:color w:val="auto"/>
              </w:rPr>
            </w:pPr>
            <w:r>
              <w:rPr>
                <w:rFonts w:ascii="Arial" w:cs="Arial" w:eastAsia="Arial" w:hAnsi="Arial"/>
                <w:sz w:val="14"/>
                <w:szCs w:val="14"/>
                <w:color w:val="auto"/>
              </w:rPr>
              <w:t>3.1</w:t>
            </w:r>
          </w:p>
        </w:tc>
        <w:tc>
          <w:tcPr>
            <w:tcW w:w="980" w:type="dxa"/>
            <w:vAlign w:val="bottom"/>
            <w:tcBorders>
              <w:bottom w:val="single" w:sz="8" w:color="43C0B9"/>
            </w:tcBorders>
            <w:shd w:val="clear" w:color="auto" w:fill="43C0B9"/>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6560" w:type="dxa"/>
            <w:vAlign w:val="bottom"/>
            <w:gridSpan w:val="9"/>
          </w:tcPr>
          <w:p>
            <w:pPr>
              <w:spacing w:after="0"/>
              <w:rPr>
                <w:rFonts w:ascii="Arial" w:cs="Arial" w:eastAsia="Arial" w:hAnsi="Arial"/>
                <w:sz w:val="14"/>
                <w:szCs w:val="14"/>
                <w:color w:val="0000FF"/>
              </w:rPr>
            </w:pPr>
            <w:hyperlink r:id="rId15">
              <w:r>
                <w:rPr>
                  <w:rFonts w:ascii="Arial" w:cs="Arial" w:eastAsia="Arial" w:hAnsi="Arial"/>
                  <w:sz w:val="14"/>
                  <w:szCs w:val="14"/>
                  <w:color w:val="0000FF"/>
                </w:rPr>
                <w:t>Amended and Restated Bylaws</w:t>
              </w:r>
            </w:hyperlink>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20" w:type="dxa"/>
            <w:vAlign w:val="bottom"/>
          </w:tcPr>
          <w:p>
            <w:pPr>
              <w:jc w:val="center"/>
              <w:spacing w:after="0"/>
              <w:rPr>
                <w:sz w:val="20"/>
                <w:szCs w:val="20"/>
                <w:color w:val="auto"/>
              </w:rPr>
            </w:pPr>
            <w:r>
              <w:rPr>
                <w:rFonts w:ascii="Arial" w:cs="Arial" w:eastAsia="Arial" w:hAnsi="Arial"/>
                <w:sz w:val="14"/>
                <w:szCs w:val="14"/>
                <w:color w:val="auto"/>
              </w:rPr>
              <w:t>10/7/2020</w:t>
            </w:r>
          </w:p>
        </w:tc>
        <w:tc>
          <w:tcPr>
            <w:tcW w:w="940" w:type="dxa"/>
            <w:vAlign w:val="bottom"/>
          </w:tcPr>
          <w:p>
            <w:pPr>
              <w:jc w:val="center"/>
              <w:ind w:left="28"/>
              <w:spacing w:after="0"/>
              <w:rPr>
                <w:sz w:val="20"/>
                <w:szCs w:val="20"/>
                <w:color w:val="auto"/>
              </w:rPr>
            </w:pPr>
            <w:r>
              <w:rPr>
                <w:rFonts w:ascii="Arial" w:cs="Arial" w:eastAsia="Arial" w:hAnsi="Arial"/>
                <w:sz w:val="14"/>
                <w:szCs w:val="14"/>
                <w:color w:val="auto"/>
              </w:rPr>
              <w:t>3.2</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tcBorders>
              <w:bottom w:val="single" w:sz="8" w:color="43C0B9"/>
            </w:tcBorders>
            <w:shd w:val="clear" w:color="auto" w:fill="43C0B9"/>
          </w:tcPr>
          <w:p>
            <w:pPr>
              <w:jc w:val="center"/>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43C0B9"/>
            </w:tcBorders>
            <w:shd w:val="clear" w:color="auto" w:fill="43C0B9"/>
          </w:tcPr>
          <w:p>
            <w:pPr>
              <w:spacing w:after="0"/>
              <w:rPr>
                <w:sz w:val="15"/>
                <w:szCs w:val="15"/>
                <w:color w:val="auto"/>
              </w:rPr>
            </w:pPr>
          </w:p>
        </w:tc>
        <w:tc>
          <w:tcPr>
            <w:tcW w:w="6080" w:type="dxa"/>
            <w:vAlign w:val="bottom"/>
            <w:tcBorders>
              <w:bottom w:val="single" w:sz="8" w:color="0000FF"/>
            </w:tcBorders>
            <w:gridSpan w:val="5"/>
            <w:shd w:val="clear" w:color="auto" w:fill="43C0B9"/>
          </w:tcPr>
          <w:p>
            <w:pPr>
              <w:spacing w:after="0"/>
              <w:rPr>
                <w:rFonts w:ascii="Arial" w:cs="Arial" w:eastAsia="Arial" w:hAnsi="Arial"/>
                <w:sz w:val="14"/>
                <w:szCs w:val="14"/>
                <w:color w:val="0000FF"/>
              </w:rPr>
            </w:pPr>
            <w:hyperlink w:anchor="page27">
              <w:r>
                <w:rPr>
                  <w:rFonts w:ascii="Arial" w:cs="Arial" w:eastAsia="Arial" w:hAnsi="Arial"/>
                  <w:sz w:val="14"/>
                  <w:szCs w:val="14"/>
                  <w:color w:val="0000FF"/>
                </w:rPr>
                <w:t>Certification of Principal Executive Officer Pursuant to Rules 13a-14(a) and 15d-14(a) under the</w:t>
              </w:r>
            </w:hyperlink>
          </w:p>
        </w:tc>
        <w:tc>
          <w:tcPr>
            <w:tcW w:w="480" w:type="dxa"/>
            <w:vAlign w:val="bottom"/>
            <w:tcBorders>
              <w:bottom w:val="single" w:sz="8" w:color="43C0B9"/>
            </w:tcBorders>
            <w:gridSpan w:val="4"/>
            <w:shd w:val="clear" w:color="auto" w:fill="43C0B9"/>
          </w:tcPr>
          <w:p>
            <w:pPr>
              <w:spacing w:after="0"/>
              <w:rPr>
                <w:sz w:val="15"/>
                <w:szCs w:val="15"/>
                <w:color w:val="auto"/>
              </w:rPr>
            </w:pPr>
          </w:p>
        </w:tc>
        <w:tc>
          <w:tcPr>
            <w:tcW w:w="700" w:type="dxa"/>
            <w:vAlign w:val="bottom"/>
            <w:tcBorders>
              <w:bottom w:val="single" w:sz="8" w:color="43C0B9"/>
            </w:tcBorders>
            <w:shd w:val="clear" w:color="auto" w:fill="43C0B9"/>
          </w:tcPr>
          <w:p>
            <w:pPr>
              <w:spacing w:after="0"/>
              <w:rPr>
                <w:sz w:val="15"/>
                <w:szCs w:val="15"/>
                <w:color w:val="auto"/>
              </w:rPr>
            </w:pPr>
          </w:p>
        </w:tc>
        <w:tc>
          <w:tcPr>
            <w:tcW w:w="1120" w:type="dxa"/>
            <w:vAlign w:val="bottom"/>
            <w:tcBorders>
              <w:bottom w:val="single" w:sz="8" w:color="43C0B9"/>
            </w:tcBorders>
            <w:shd w:val="clear" w:color="auto" w:fill="43C0B9"/>
          </w:tcPr>
          <w:p>
            <w:pPr>
              <w:spacing w:after="0"/>
              <w:rPr>
                <w:sz w:val="15"/>
                <w:szCs w:val="15"/>
                <w:color w:val="auto"/>
              </w:rPr>
            </w:pPr>
          </w:p>
        </w:tc>
        <w:tc>
          <w:tcPr>
            <w:tcW w:w="940" w:type="dxa"/>
            <w:vAlign w:val="bottom"/>
            <w:tcBorders>
              <w:bottom w:val="single" w:sz="8" w:color="43C0B9"/>
            </w:tcBorders>
            <w:shd w:val="clear" w:color="auto" w:fill="43C0B9"/>
          </w:tcPr>
          <w:p>
            <w:pPr>
              <w:spacing w:after="0"/>
              <w:rPr>
                <w:sz w:val="15"/>
                <w:szCs w:val="15"/>
                <w:color w:val="auto"/>
              </w:rPr>
            </w:pPr>
          </w:p>
        </w:tc>
        <w:tc>
          <w:tcPr>
            <w:tcW w:w="980" w:type="dxa"/>
            <w:vAlign w:val="bottom"/>
            <w:tcBorders>
              <w:bottom w:val="single" w:sz="8" w:color="43C0B9"/>
            </w:tcBorders>
            <w:shd w:val="clear" w:color="auto" w:fill="43C0B9"/>
          </w:tcPr>
          <w:p>
            <w:pPr>
              <w:jc w:val="center"/>
              <w:ind w:left="4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780" w:type="dxa"/>
            <w:vAlign w:val="bottom"/>
            <w:shd w:val="clear" w:color="auto" w:fill="43C0B9"/>
          </w:tcPr>
          <w:p>
            <w:pPr>
              <w:spacing w:after="0"/>
              <w:rPr>
                <w:sz w:val="12"/>
                <w:szCs w:val="12"/>
                <w:color w:val="auto"/>
              </w:rPr>
            </w:pPr>
          </w:p>
        </w:tc>
        <w:tc>
          <w:tcPr>
            <w:tcW w:w="100" w:type="dxa"/>
            <w:vAlign w:val="bottom"/>
            <w:shd w:val="clear" w:color="auto" w:fill="43C0B9"/>
          </w:tcPr>
          <w:p>
            <w:pPr>
              <w:spacing w:after="0"/>
              <w:rPr>
                <w:sz w:val="12"/>
                <w:szCs w:val="12"/>
                <w:color w:val="auto"/>
              </w:rPr>
            </w:pPr>
          </w:p>
        </w:tc>
        <w:tc>
          <w:tcPr>
            <w:tcW w:w="6560" w:type="dxa"/>
            <w:vAlign w:val="bottom"/>
            <w:gridSpan w:val="9"/>
            <w:shd w:val="clear" w:color="auto" w:fill="43C0B9"/>
          </w:tcPr>
          <w:p>
            <w:pPr>
              <w:spacing w:after="0" w:line="142" w:lineRule="exact"/>
              <w:rPr>
                <w:rFonts w:ascii="Arial" w:cs="Arial" w:eastAsia="Arial" w:hAnsi="Arial"/>
                <w:sz w:val="14"/>
                <w:szCs w:val="14"/>
                <w:color w:val="0000FF"/>
              </w:rPr>
            </w:pPr>
            <w:hyperlink w:anchor="page27">
              <w:r>
                <w:rPr>
                  <w:rFonts w:ascii="Arial" w:cs="Arial" w:eastAsia="Arial" w:hAnsi="Arial"/>
                  <w:sz w:val="14"/>
                  <w:szCs w:val="14"/>
                  <w:color w:val="0000FF"/>
                </w:rPr>
                <w:t>Securities Exchange Act of 1934, as Adopted Pursuant to Section 302 of the Sarbanes-Oxley Act of</w:t>
              </w:r>
            </w:hyperlink>
          </w:p>
        </w:tc>
        <w:tc>
          <w:tcPr>
            <w:tcW w:w="700" w:type="dxa"/>
            <w:vAlign w:val="bottom"/>
            <w:shd w:val="clear" w:color="auto" w:fill="43C0B9"/>
          </w:tcPr>
          <w:p>
            <w:pPr>
              <w:spacing w:after="0"/>
              <w:rPr>
                <w:sz w:val="12"/>
                <w:szCs w:val="12"/>
                <w:color w:val="auto"/>
              </w:rPr>
            </w:pPr>
          </w:p>
        </w:tc>
        <w:tc>
          <w:tcPr>
            <w:tcW w:w="1120" w:type="dxa"/>
            <w:vAlign w:val="bottom"/>
            <w:shd w:val="clear" w:color="auto" w:fill="43C0B9"/>
          </w:tcPr>
          <w:p>
            <w:pPr>
              <w:spacing w:after="0"/>
              <w:rPr>
                <w:sz w:val="12"/>
                <w:szCs w:val="12"/>
                <w:color w:val="auto"/>
              </w:rPr>
            </w:pPr>
          </w:p>
        </w:tc>
        <w:tc>
          <w:tcPr>
            <w:tcW w:w="940" w:type="dxa"/>
            <w:vAlign w:val="bottom"/>
            <w:shd w:val="clear" w:color="auto" w:fill="43C0B9"/>
          </w:tcPr>
          <w:p>
            <w:pPr>
              <w:spacing w:after="0"/>
              <w:rPr>
                <w:sz w:val="12"/>
                <w:szCs w:val="12"/>
                <w:color w:val="auto"/>
              </w:rPr>
            </w:pPr>
          </w:p>
        </w:tc>
        <w:tc>
          <w:tcPr>
            <w:tcW w:w="980" w:type="dxa"/>
            <w:vAlign w:val="bottom"/>
            <w:shd w:val="clear" w:color="auto" w:fill="43C0B9"/>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80" w:type="dxa"/>
            <w:vAlign w:val="bottom"/>
            <w:tcBorders>
              <w:top w:val="single" w:sz="8" w:color="43C0B9"/>
              <w:bottom w:val="single" w:sz="8" w:color="43C0B9"/>
            </w:tcBorders>
            <w:shd w:val="clear" w:color="auto" w:fill="43C0B9"/>
          </w:tcPr>
          <w:p>
            <w:pPr>
              <w:spacing w:after="0"/>
              <w:rPr>
                <w:sz w:val="14"/>
                <w:szCs w:val="14"/>
                <w:color w:val="auto"/>
              </w:rPr>
            </w:pPr>
          </w:p>
        </w:tc>
        <w:tc>
          <w:tcPr>
            <w:tcW w:w="100" w:type="dxa"/>
            <w:vAlign w:val="bottom"/>
            <w:tcBorders>
              <w:top w:val="single" w:sz="8" w:color="43C0B9"/>
              <w:bottom w:val="single" w:sz="8" w:color="43C0B9"/>
            </w:tcBorders>
            <w:shd w:val="clear" w:color="auto" w:fill="43C0B9"/>
          </w:tcPr>
          <w:p>
            <w:pPr>
              <w:spacing w:after="0"/>
              <w:rPr>
                <w:sz w:val="14"/>
                <w:szCs w:val="14"/>
                <w:color w:val="auto"/>
              </w:rPr>
            </w:pPr>
          </w:p>
        </w:tc>
        <w:tc>
          <w:tcPr>
            <w:tcW w:w="320" w:type="dxa"/>
            <w:vAlign w:val="bottom"/>
            <w:tcBorders>
              <w:top w:val="single" w:sz="8" w:color="0000FF"/>
              <w:bottom w:val="single" w:sz="8" w:color="0000FF"/>
            </w:tcBorders>
            <w:shd w:val="clear" w:color="auto" w:fill="43C0B9"/>
          </w:tcPr>
          <w:p>
            <w:pPr>
              <w:spacing w:after="0" w:line="142" w:lineRule="exact"/>
              <w:rPr>
                <w:rFonts w:ascii="Arial" w:cs="Arial" w:eastAsia="Arial" w:hAnsi="Arial"/>
                <w:sz w:val="14"/>
                <w:szCs w:val="14"/>
                <w:color w:val="0000FF"/>
                <w:w w:val="96"/>
              </w:rPr>
            </w:pPr>
            <w:hyperlink w:anchor="page27">
              <w:r>
                <w:rPr>
                  <w:rFonts w:ascii="Arial" w:cs="Arial" w:eastAsia="Arial" w:hAnsi="Arial"/>
                  <w:sz w:val="14"/>
                  <w:szCs w:val="14"/>
                  <w:color w:val="0000FF"/>
                  <w:w w:val="96"/>
                </w:rPr>
                <w:t>2002</w:t>
              </w:r>
            </w:hyperlink>
          </w:p>
        </w:tc>
        <w:tc>
          <w:tcPr>
            <w:tcW w:w="1680" w:type="dxa"/>
            <w:vAlign w:val="bottom"/>
            <w:tcBorders>
              <w:top w:val="single" w:sz="8" w:color="0000FF"/>
              <w:bottom w:val="single" w:sz="8" w:color="43C0B9"/>
            </w:tcBorders>
            <w:shd w:val="clear" w:color="auto" w:fill="43C0B9"/>
          </w:tcPr>
          <w:p>
            <w:pPr>
              <w:spacing w:after="0"/>
              <w:rPr>
                <w:sz w:val="14"/>
                <w:szCs w:val="14"/>
                <w:color w:val="auto"/>
              </w:rPr>
            </w:pPr>
          </w:p>
        </w:tc>
        <w:tc>
          <w:tcPr>
            <w:tcW w:w="1240" w:type="dxa"/>
            <w:vAlign w:val="bottom"/>
            <w:tcBorders>
              <w:top w:val="single" w:sz="8" w:color="0000FF"/>
              <w:bottom w:val="single" w:sz="8" w:color="43C0B9"/>
            </w:tcBorders>
            <w:shd w:val="clear" w:color="auto" w:fill="43C0B9"/>
          </w:tcPr>
          <w:p>
            <w:pPr>
              <w:spacing w:after="0"/>
              <w:rPr>
                <w:sz w:val="14"/>
                <w:szCs w:val="14"/>
                <w:color w:val="auto"/>
              </w:rPr>
            </w:pPr>
          </w:p>
        </w:tc>
        <w:tc>
          <w:tcPr>
            <w:tcW w:w="2780" w:type="dxa"/>
            <w:vAlign w:val="bottom"/>
            <w:tcBorders>
              <w:top w:val="single" w:sz="8" w:color="0000FF"/>
              <w:bottom w:val="single" w:sz="8" w:color="43C0B9"/>
            </w:tcBorders>
            <w:shd w:val="clear" w:color="auto" w:fill="43C0B9"/>
          </w:tcPr>
          <w:p>
            <w:pPr>
              <w:spacing w:after="0"/>
              <w:rPr>
                <w:sz w:val="14"/>
                <w:szCs w:val="14"/>
                <w:color w:val="auto"/>
              </w:rPr>
            </w:pPr>
          </w:p>
        </w:tc>
        <w:tc>
          <w:tcPr>
            <w:tcW w:w="60" w:type="dxa"/>
            <w:vAlign w:val="bottom"/>
            <w:tcBorders>
              <w:top w:val="single" w:sz="8" w:color="0000FF"/>
              <w:bottom w:val="single" w:sz="8" w:color="43C0B9"/>
            </w:tcBorders>
            <w:shd w:val="clear" w:color="auto" w:fill="43C0B9"/>
          </w:tcPr>
          <w:p>
            <w:pPr>
              <w:spacing w:after="0"/>
              <w:rPr>
                <w:sz w:val="14"/>
                <w:szCs w:val="14"/>
                <w:color w:val="auto"/>
              </w:rPr>
            </w:pPr>
          </w:p>
        </w:tc>
        <w:tc>
          <w:tcPr>
            <w:tcW w:w="80" w:type="dxa"/>
            <w:vAlign w:val="bottom"/>
            <w:tcBorders>
              <w:top w:val="single" w:sz="8" w:color="0000FF"/>
              <w:bottom w:val="single" w:sz="8" w:color="43C0B9"/>
            </w:tcBorders>
            <w:shd w:val="clear" w:color="auto" w:fill="43C0B9"/>
          </w:tcPr>
          <w:p>
            <w:pPr>
              <w:spacing w:after="0"/>
              <w:rPr>
                <w:sz w:val="14"/>
                <w:szCs w:val="14"/>
                <w:color w:val="auto"/>
              </w:rPr>
            </w:pPr>
          </w:p>
        </w:tc>
        <w:tc>
          <w:tcPr>
            <w:tcW w:w="60" w:type="dxa"/>
            <w:vAlign w:val="bottom"/>
            <w:tcBorders>
              <w:top w:val="single" w:sz="8" w:color="0000FF"/>
              <w:bottom w:val="single" w:sz="8" w:color="43C0B9"/>
            </w:tcBorders>
            <w:shd w:val="clear" w:color="auto" w:fill="43C0B9"/>
          </w:tcPr>
          <w:p>
            <w:pPr>
              <w:spacing w:after="0"/>
              <w:rPr>
                <w:sz w:val="14"/>
                <w:szCs w:val="14"/>
                <w:color w:val="auto"/>
              </w:rPr>
            </w:pPr>
          </w:p>
        </w:tc>
        <w:tc>
          <w:tcPr>
            <w:tcW w:w="120" w:type="dxa"/>
            <w:vAlign w:val="bottom"/>
            <w:tcBorders>
              <w:top w:val="single" w:sz="8" w:color="0000FF"/>
              <w:bottom w:val="single" w:sz="8" w:color="43C0B9"/>
            </w:tcBorders>
            <w:shd w:val="clear" w:color="auto" w:fill="43C0B9"/>
          </w:tcPr>
          <w:p>
            <w:pPr>
              <w:spacing w:after="0"/>
              <w:rPr>
                <w:sz w:val="14"/>
                <w:szCs w:val="14"/>
                <w:color w:val="auto"/>
              </w:rPr>
            </w:pPr>
          </w:p>
        </w:tc>
        <w:tc>
          <w:tcPr>
            <w:tcW w:w="220" w:type="dxa"/>
            <w:vAlign w:val="bottom"/>
            <w:tcBorders>
              <w:top w:val="single" w:sz="8" w:color="43C0B9"/>
              <w:bottom w:val="single" w:sz="8" w:color="43C0B9"/>
            </w:tcBorders>
            <w:shd w:val="clear" w:color="auto" w:fill="43C0B9"/>
          </w:tcPr>
          <w:p>
            <w:pPr>
              <w:spacing w:after="0"/>
              <w:rPr>
                <w:sz w:val="14"/>
                <w:szCs w:val="14"/>
                <w:color w:val="auto"/>
              </w:rPr>
            </w:pPr>
          </w:p>
        </w:tc>
        <w:tc>
          <w:tcPr>
            <w:tcW w:w="700" w:type="dxa"/>
            <w:vAlign w:val="bottom"/>
            <w:tcBorders>
              <w:top w:val="single" w:sz="8" w:color="43C0B9"/>
              <w:bottom w:val="single" w:sz="8" w:color="43C0B9"/>
            </w:tcBorders>
            <w:shd w:val="clear" w:color="auto" w:fill="43C0B9"/>
          </w:tcPr>
          <w:p>
            <w:pPr>
              <w:spacing w:after="0"/>
              <w:rPr>
                <w:sz w:val="14"/>
                <w:szCs w:val="14"/>
                <w:color w:val="auto"/>
              </w:rPr>
            </w:pPr>
          </w:p>
        </w:tc>
        <w:tc>
          <w:tcPr>
            <w:tcW w:w="1120" w:type="dxa"/>
            <w:vAlign w:val="bottom"/>
            <w:tcBorders>
              <w:top w:val="single" w:sz="8" w:color="43C0B9"/>
              <w:bottom w:val="single" w:sz="8" w:color="43C0B9"/>
            </w:tcBorders>
            <w:shd w:val="clear" w:color="auto" w:fill="43C0B9"/>
          </w:tcPr>
          <w:p>
            <w:pPr>
              <w:spacing w:after="0"/>
              <w:rPr>
                <w:sz w:val="14"/>
                <w:szCs w:val="14"/>
                <w:color w:val="auto"/>
              </w:rPr>
            </w:pPr>
          </w:p>
        </w:tc>
        <w:tc>
          <w:tcPr>
            <w:tcW w:w="940" w:type="dxa"/>
            <w:vAlign w:val="bottom"/>
            <w:tcBorders>
              <w:top w:val="single" w:sz="8" w:color="43C0B9"/>
              <w:bottom w:val="single" w:sz="8" w:color="43C0B9"/>
            </w:tcBorders>
            <w:shd w:val="clear" w:color="auto" w:fill="43C0B9"/>
          </w:tcPr>
          <w:p>
            <w:pPr>
              <w:spacing w:after="0"/>
              <w:rPr>
                <w:sz w:val="14"/>
                <w:szCs w:val="14"/>
                <w:color w:val="auto"/>
              </w:rPr>
            </w:pPr>
          </w:p>
        </w:tc>
        <w:tc>
          <w:tcPr>
            <w:tcW w:w="980" w:type="dxa"/>
            <w:vAlign w:val="bottom"/>
            <w:tcBorders>
              <w:top w:val="single" w:sz="8" w:color="43C0B9"/>
              <w:bottom w:val="single" w:sz="8" w:color="43C0B9"/>
            </w:tcBorders>
            <w:shd w:val="clear" w:color="auto" w:fill="43C0B9"/>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 w:type="dxa"/>
            <w:vAlign w:val="bottom"/>
            <w:tcBorders>
              <w:top w:val="single" w:sz="8" w:color="43C0B9"/>
            </w:tcBorders>
          </w:tcPr>
          <w:p>
            <w:pPr>
              <w:jc w:val="center"/>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43C0B9"/>
            </w:tcBorders>
          </w:tcPr>
          <w:p>
            <w:pPr>
              <w:spacing w:after="0"/>
              <w:rPr>
                <w:sz w:val="15"/>
                <w:szCs w:val="15"/>
                <w:color w:val="auto"/>
              </w:rPr>
            </w:pPr>
          </w:p>
        </w:tc>
        <w:tc>
          <w:tcPr>
            <w:tcW w:w="6560" w:type="dxa"/>
            <w:vAlign w:val="bottom"/>
            <w:tcBorders>
              <w:top w:val="single" w:sz="8" w:color="43C0B9"/>
            </w:tcBorders>
            <w:gridSpan w:val="9"/>
          </w:tcPr>
          <w:p>
            <w:pPr>
              <w:spacing w:after="0"/>
              <w:rPr>
                <w:rFonts w:ascii="Arial" w:cs="Arial" w:eastAsia="Arial" w:hAnsi="Arial"/>
                <w:sz w:val="14"/>
                <w:szCs w:val="14"/>
                <w:color w:val="0000FF"/>
              </w:rPr>
            </w:pPr>
            <w:hyperlink w:anchor="page28">
              <w:r>
                <w:rPr>
                  <w:rFonts w:ascii="Arial" w:cs="Arial" w:eastAsia="Arial" w:hAnsi="Arial"/>
                  <w:sz w:val="14"/>
                  <w:szCs w:val="14"/>
                  <w:color w:val="0000FF"/>
                </w:rPr>
                <w:t>Certification of Principal Financial Officer Pursuant to Rules 13a-14(a) and 15d-14(a) under the</w:t>
              </w:r>
            </w:hyperlink>
          </w:p>
        </w:tc>
        <w:tc>
          <w:tcPr>
            <w:tcW w:w="700" w:type="dxa"/>
            <w:vAlign w:val="bottom"/>
            <w:tcBorders>
              <w:top w:val="single" w:sz="8" w:color="43C0B9"/>
            </w:tcBorders>
          </w:tcPr>
          <w:p>
            <w:pPr>
              <w:spacing w:after="0"/>
              <w:rPr>
                <w:sz w:val="15"/>
                <w:szCs w:val="15"/>
                <w:color w:val="auto"/>
              </w:rPr>
            </w:pPr>
          </w:p>
        </w:tc>
        <w:tc>
          <w:tcPr>
            <w:tcW w:w="1120" w:type="dxa"/>
            <w:vAlign w:val="bottom"/>
            <w:tcBorders>
              <w:top w:val="single" w:sz="8" w:color="43C0B9"/>
            </w:tcBorders>
          </w:tcPr>
          <w:p>
            <w:pPr>
              <w:spacing w:after="0"/>
              <w:rPr>
                <w:sz w:val="15"/>
                <w:szCs w:val="15"/>
                <w:color w:val="auto"/>
              </w:rPr>
            </w:pPr>
          </w:p>
        </w:tc>
        <w:tc>
          <w:tcPr>
            <w:tcW w:w="940" w:type="dxa"/>
            <w:vAlign w:val="bottom"/>
            <w:tcBorders>
              <w:top w:val="single" w:sz="8" w:color="43C0B9"/>
            </w:tcBorders>
          </w:tcPr>
          <w:p>
            <w:pPr>
              <w:spacing w:after="0"/>
              <w:rPr>
                <w:sz w:val="15"/>
                <w:szCs w:val="15"/>
                <w:color w:val="auto"/>
              </w:rPr>
            </w:pPr>
          </w:p>
        </w:tc>
        <w:tc>
          <w:tcPr>
            <w:tcW w:w="980" w:type="dxa"/>
            <w:vAlign w:val="bottom"/>
            <w:tcBorders>
              <w:top w:val="single" w:sz="8" w:color="43C0B9"/>
            </w:tcBorders>
          </w:tcPr>
          <w:p>
            <w:pPr>
              <w:jc w:val="center"/>
              <w:ind w:left="4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2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560" w:type="dxa"/>
            <w:vAlign w:val="bottom"/>
            <w:gridSpan w:val="9"/>
          </w:tcPr>
          <w:p>
            <w:pPr>
              <w:spacing w:after="0" w:line="142" w:lineRule="exact"/>
              <w:rPr>
                <w:rFonts w:ascii="Arial" w:cs="Arial" w:eastAsia="Arial" w:hAnsi="Arial"/>
                <w:sz w:val="14"/>
                <w:szCs w:val="14"/>
                <w:color w:val="0000FF"/>
              </w:rPr>
            </w:pPr>
            <w:hyperlink w:anchor="page28">
              <w:r>
                <w:rPr>
                  <w:rFonts w:ascii="Arial" w:cs="Arial" w:eastAsia="Arial" w:hAnsi="Arial"/>
                  <w:sz w:val="14"/>
                  <w:szCs w:val="14"/>
                  <w:color w:val="0000FF"/>
                </w:rPr>
                <w:t>Securities Exchange Act of 1934, as Adopted Pursuant to Section 302 of the Sarbanes-Oxley Act of</w:t>
              </w:r>
            </w:hyperlink>
          </w:p>
        </w:tc>
        <w:tc>
          <w:tcPr>
            <w:tcW w:w="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96"/>
              </w:rPr>
            </w:pPr>
            <w:hyperlink w:anchor="page28">
              <w:r>
                <w:rPr>
                  <w:rFonts w:ascii="Arial" w:cs="Arial" w:eastAsia="Arial" w:hAnsi="Arial"/>
                  <w:sz w:val="14"/>
                  <w:szCs w:val="14"/>
                  <w:color w:val="0000FF"/>
                  <w:w w:val="96"/>
                </w:rPr>
                <w:t>2002</w:t>
              </w:r>
            </w:hyperlink>
          </w:p>
        </w:tc>
        <w:tc>
          <w:tcPr>
            <w:tcW w:w="168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27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43C0B9"/>
            </w:tcBorders>
            <w:shd w:val="clear" w:color="auto" w:fill="43C0B9"/>
          </w:tcPr>
          <w:p>
            <w:pPr>
              <w:jc w:val="center"/>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43C0B9"/>
            </w:tcBorders>
            <w:shd w:val="clear" w:color="auto" w:fill="43C0B9"/>
          </w:tcPr>
          <w:p>
            <w:pPr>
              <w:spacing w:after="0"/>
              <w:rPr>
                <w:sz w:val="17"/>
                <w:szCs w:val="17"/>
                <w:color w:val="auto"/>
              </w:rPr>
            </w:pPr>
          </w:p>
        </w:tc>
        <w:tc>
          <w:tcPr>
            <w:tcW w:w="6220" w:type="dxa"/>
            <w:vAlign w:val="bottom"/>
            <w:tcBorders>
              <w:bottom w:val="single" w:sz="8" w:color="0000FF"/>
            </w:tcBorders>
            <w:gridSpan w:val="7"/>
            <w:shd w:val="clear" w:color="auto" w:fill="43C0B9"/>
          </w:tcPr>
          <w:p>
            <w:pPr>
              <w:spacing w:after="0"/>
              <w:rPr>
                <w:rFonts w:ascii="Arial" w:cs="Arial" w:eastAsia="Arial" w:hAnsi="Arial"/>
                <w:sz w:val="14"/>
                <w:szCs w:val="14"/>
                <w:color w:val="0000FF"/>
              </w:rPr>
            </w:pPr>
            <w:hyperlink w:anchor="page29">
              <w:r>
                <w:rPr>
                  <w:rFonts w:ascii="Arial" w:cs="Arial" w:eastAsia="Arial" w:hAnsi="Arial"/>
                  <w:sz w:val="14"/>
                  <w:szCs w:val="14"/>
                  <w:color w:val="0000FF"/>
                </w:rPr>
                <w:t>Certification of Chief Executive Officer pursuant to Section 906 of the Sarbanes-Oxley Act of 2002</w:t>
              </w:r>
            </w:hyperlink>
          </w:p>
        </w:tc>
        <w:tc>
          <w:tcPr>
            <w:tcW w:w="340" w:type="dxa"/>
            <w:vAlign w:val="bottom"/>
            <w:tcBorders>
              <w:bottom w:val="single" w:sz="8" w:color="43C0B9"/>
            </w:tcBorders>
            <w:gridSpan w:val="2"/>
            <w:shd w:val="clear" w:color="auto" w:fill="43C0B9"/>
          </w:tcPr>
          <w:p>
            <w:pPr>
              <w:spacing w:after="0"/>
              <w:rPr>
                <w:sz w:val="17"/>
                <w:szCs w:val="17"/>
                <w:color w:val="auto"/>
              </w:rPr>
            </w:pPr>
          </w:p>
        </w:tc>
        <w:tc>
          <w:tcPr>
            <w:tcW w:w="700" w:type="dxa"/>
            <w:vAlign w:val="bottom"/>
            <w:tcBorders>
              <w:bottom w:val="single" w:sz="8" w:color="43C0B9"/>
            </w:tcBorders>
            <w:shd w:val="clear" w:color="auto" w:fill="43C0B9"/>
          </w:tcPr>
          <w:p>
            <w:pPr>
              <w:spacing w:after="0"/>
              <w:rPr>
                <w:sz w:val="17"/>
                <w:szCs w:val="17"/>
                <w:color w:val="auto"/>
              </w:rPr>
            </w:pPr>
          </w:p>
        </w:tc>
        <w:tc>
          <w:tcPr>
            <w:tcW w:w="1120" w:type="dxa"/>
            <w:vAlign w:val="bottom"/>
            <w:tcBorders>
              <w:bottom w:val="single" w:sz="8" w:color="43C0B9"/>
            </w:tcBorders>
            <w:shd w:val="clear" w:color="auto" w:fill="43C0B9"/>
          </w:tcPr>
          <w:p>
            <w:pPr>
              <w:spacing w:after="0"/>
              <w:rPr>
                <w:sz w:val="17"/>
                <w:szCs w:val="17"/>
                <w:color w:val="auto"/>
              </w:rPr>
            </w:pPr>
          </w:p>
        </w:tc>
        <w:tc>
          <w:tcPr>
            <w:tcW w:w="940" w:type="dxa"/>
            <w:vAlign w:val="bottom"/>
            <w:tcBorders>
              <w:bottom w:val="single" w:sz="8" w:color="43C0B9"/>
            </w:tcBorders>
            <w:shd w:val="clear" w:color="auto" w:fill="43C0B9"/>
          </w:tcPr>
          <w:p>
            <w:pPr>
              <w:spacing w:after="0"/>
              <w:rPr>
                <w:sz w:val="17"/>
                <w:szCs w:val="17"/>
                <w:color w:val="auto"/>
              </w:rPr>
            </w:pPr>
          </w:p>
        </w:tc>
        <w:tc>
          <w:tcPr>
            <w:tcW w:w="980" w:type="dxa"/>
            <w:vAlign w:val="bottom"/>
            <w:tcBorders>
              <w:bottom w:val="single" w:sz="8" w:color="43C0B9"/>
            </w:tcBorders>
            <w:shd w:val="clear" w:color="auto" w:fill="43C0B9"/>
          </w:tcPr>
          <w:p>
            <w:pPr>
              <w:jc w:val="center"/>
              <w:ind w:left="4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5"/>
        </w:trPr>
        <w:tc>
          <w:tcPr>
            <w:tcW w:w="780" w:type="dxa"/>
            <w:vAlign w:val="bottom"/>
          </w:tcPr>
          <w:p>
            <w:pPr>
              <w:jc w:val="center"/>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6560" w:type="dxa"/>
            <w:vAlign w:val="bottom"/>
            <w:gridSpan w:val="9"/>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Certification of Chief Financial Officer pursuant to Section 906 of the Sarbanes-Oxley Act of 2002</w:t>
              </w:r>
            </w:hyperlink>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jc w:val="center"/>
              <w:ind w:left="4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Previously filed</w:t>
      </w:r>
    </w:p>
    <w:p>
      <w:pPr>
        <w:spacing w:after="0" w:line="94" w:lineRule="exact"/>
        <w:rPr>
          <w:sz w:val="20"/>
          <w:szCs w:val="20"/>
          <w:color w:val="auto"/>
        </w:rPr>
      </w:pPr>
    </w:p>
    <w:p>
      <w:pPr>
        <w:jc w:val="both"/>
        <w:ind w:left="440" w:right="460" w:hanging="80"/>
        <w:spacing w:after="0" w:line="183" w:lineRule="auto"/>
        <w:tabs>
          <w:tab w:leader="none" w:pos="440" w:val="left"/>
        </w:tabs>
        <w:numPr>
          <w:ilvl w:val="0"/>
          <w:numId w:val="12"/>
        </w:numPr>
        <w:rPr>
          <w:rFonts w:ascii="Arial" w:cs="Arial" w:eastAsia="Arial" w:hAnsi="Arial"/>
          <w:sz w:val="25"/>
          <w:szCs w:val="25"/>
          <w:color w:val="auto"/>
          <w:vertAlign w:val="superscript"/>
        </w:rPr>
      </w:pPr>
      <w:r>
        <w:rPr>
          <w:rFonts w:ascii="Arial" w:cs="Arial" w:eastAsia="Arial" w:hAnsi="Arial"/>
          <w:sz w:val="13"/>
          <w:szCs w:val="13"/>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232F84"/>
        </w:rPr>
        <w:t>SIGNATURES</w:t>
      </w:r>
    </w:p>
    <w:p>
      <w:pPr>
        <w:spacing w:after="0" w:line="258" w:lineRule="exact"/>
        <w:rPr>
          <w:sz w:val="20"/>
          <w:szCs w:val="20"/>
          <w:color w:val="auto"/>
        </w:rPr>
      </w:pPr>
    </w:p>
    <w:p>
      <w:pPr>
        <w:ind w:right="120" w:firstLine="648"/>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quarterly report to be signed on its behalf by the undersigned, thereunto duly authorized, on June 10, 2021.</w:t>
      </w:r>
    </w:p>
    <w:p>
      <w:pPr>
        <w:spacing w:after="0" w:line="256" w:lineRule="exact"/>
        <w:rPr>
          <w:sz w:val="20"/>
          <w:szCs w:val="20"/>
          <w:color w:val="auto"/>
        </w:rPr>
      </w:pPr>
    </w:p>
    <w:p>
      <w:pPr>
        <w:jc w:val="center"/>
        <w:ind w:left="7340"/>
        <w:spacing w:after="0"/>
        <w:rPr>
          <w:sz w:val="20"/>
          <w:szCs w:val="20"/>
          <w:color w:val="auto"/>
        </w:rPr>
      </w:pPr>
      <w:r>
        <w:rPr>
          <w:rFonts w:ascii="Arial" w:cs="Arial" w:eastAsia="Arial" w:hAnsi="Arial"/>
          <w:sz w:val="16"/>
          <w:szCs w:val="16"/>
          <w:b w:val="1"/>
          <w:bCs w:val="1"/>
          <w:color w:val="232F84"/>
        </w:rPr>
        <w:t>MISSION PRODUCE, INC.</w:t>
      </w:r>
    </w:p>
    <w:p>
      <w:pPr>
        <w:spacing w:after="0" w:line="163"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6350</wp:posOffset>
            </wp:positionV>
            <wp:extent cx="2468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5" w:lineRule="exact"/>
        <w:rPr>
          <w:sz w:val="20"/>
          <w:szCs w:val="20"/>
          <w:color w:val="auto"/>
        </w:rPr>
      </w:pPr>
    </w:p>
    <w:p>
      <w:pPr>
        <w:ind w:left="8680"/>
        <w:spacing w:after="0"/>
        <w:rPr>
          <w:sz w:val="20"/>
          <w:szCs w:val="20"/>
          <w:color w:val="auto"/>
        </w:rPr>
      </w:pPr>
      <w:r>
        <w:rPr>
          <w:rFonts w:ascii="Arial" w:cs="Arial" w:eastAsia="Arial" w:hAnsi="Arial"/>
          <w:sz w:val="14"/>
          <w:szCs w:val="14"/>
          <w:color w:val="auto"/>
        </w:rPr>
        <w:t>Stephen J. Barnard</w:t>
      </w:r>
    </w:p>
    <w:p>
      <w:pPr>
        <w:spacing w:after="0" w:line="28" w:lineRule="exact"/>
        <w:rPr>
          <w:sz w:val="20"/>
          <w:szCs w:val="20"/>
          <w:color w:val="auto"/>
        </w:rPr>
      </w:pPr>
    </w:p>
    <w:p>
      <w:pPr>
        <w:ind w:left="8560"/>
        <w:spacing w:after="0"/>
        <w:rPr>
          <w:sz w:val="20"/>
          <w:szCs w:val="20"/>
          <w:color w:val="auto"/>
        </w:rPr>
      </w:pPr>
      <w:r>
        <w:rPr>
          <w:rFonts w:ascii="Arial" w:cs="Arial" w:eastAsia="Arial" w:hAnsi="Arial"/>
          <w:sz w:val="14"/>
          <w:szCs w:val="14"/>
          <w:i w:val="1"/>
          <w:iCs w:val="1"/>
          <w:color w:val="auto"/>
        </w:rPr>
        <w:t>Chief Executive Officer</w:t>
      </w:r>
    </w:p>
    <w:p>
      <w:pPr>
        <w:spacing w:after="0" w:line="272"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65" w:lineRule="exact"/>
        <w:rPr>
          <w:sz w:val="20"/>
          <w:szCs w:val="20"/>
          <w:color w:val="auto"/>
        </w:rPr>
      </w:pPr>
    </w:p>
    <w:p>
      <w:pPr>
        <w:jc w:val="center"/>
        <w:ind w:left="7340"/>
        <w:spacing w:after="0"/>
        <w:rPr>
          <w:sz w:val="20"/>
          <w:szCs w:val="20"/>
          <w:color w:val="auto"/>
        </w:rPr>
      </w:pPr>
      <w:r>
        <w:rPr>
          <w:rFonts w:ascii="Arial" w:cs="Arial" w:eastAsia="Arial" w:hAnsi="Arial"/>
          <w:sz w:val="14"/>
          <w:szCs w:val="14"/>
          <w:color w:val="auto"/>
        </w:rPr>
        <w:t>Bryan E. Giles</w:t>
      </w:r>
    </w:p>
    <w:p>
      <w:pPr>
        <w:spacing w:after="0" w:line="28" w:lineRule="exact"/>
        <w:rPr>
          <w:sz w:val="20"/>
          <w:szCs w:val="20"/>
          <w:color w:val="auto"/>
        </w:rPr>
      </w:pPr>
    </w:p>
    <w:p>
      <w:pPr>
        <w:jc w:val="center"/>
        <w:ind w:left="7340"/>
        <w:spacing w:after="0"/>
        <w:rPr>
          <w:sz w:val="20"/>
          <w:szCs w:val="20"/>
          <w:color w:val="auto"/>
        </w:rPr>
      </w:pPr>
      <w:r>
        <w:rPr>
          <w:rFonts w:ascii="Arial" w:cs="Arial" w:eastAsia="Arial" w:hAnsi="Arial"/>
          <w:sz w:val="14"/>
          <w:szCs w:val="14"/>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80"/>
          </w:cols>
          <w:pgMar w:left="320" w:top="865" w:right="399" w:bottom="1440" w:gutter="0" w:footer="0" w:header="0"/>
        </w:sectPr>
      </w:pPr>
    </w:p>
    <w:bookmarkStart w:id="26" w:name="page27"/>
    <w:bookmarkEnd w:id="26"/>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CERTIFICATION OF CHIEF EXECUTIVE OFFICER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PURSUANT TO SECTION 302 OF THE SARBANES-OXLEY ACT OF 2002</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 Stephen J. Barnard, certify that:</w:t>
      </w:r>
    </w:p>
    <w:p>
      <w:pPr>
        <w:spacing w:after="0" w:line="22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Mission Produce, Inc.;</w:t>
      </w:r>
    </w:p>
    <w:p>
      <w:pPr>
        <w:spacing w:after="0" w:line="221" w:lineRule="exact"/>
        <w:rPr>
          <w:rFonts w:ascii="Arial" w:cs="Arial" w:eastAsia="Arial" w:hAnsi="Arial"/>
          <w:sz w:val="16"/>
          <w:szCs w:val="16"/>
          <w:color w:val="auto"/>
        </w:rPr>
      </w:pPr>
    </w:p>
    <w:p>
      <w:pPr>
        <w:jc w:val="both"/>
        <w:ind w:left="660" w:right="100" w:hanging="328"/>
        <w:spacing w:after="0" w:line="25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20" w:hanging="328"/>
        <w:spacing w:after="0" w:line="260"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jc w:val="both"/>
        <w:ind w:left="660" w:right="220" w:hanging="328"/>
        <w:spacing w:after="0" w:line="25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1300" w:right="220" w:hanging="320"/>
        <w:spacing w:after="0" w:line="253" w:lineRule="auto"/>
        <w:tabs>
          <w:tab w:leader="none" w:pos="1322"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320" w:hanging="340"/>
        <w:spacing w:after="0"/>
        <w:tabs>
          <w:tab w:leader="none" w:pos="13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 13a-14(a)];</w:t>
      </w:r>
    </w:p>
    <w:p>
      <w:pPr>
        <w:spacing w:after="0" w:line="221" w:lineRule="exact"/>
        <w:rPr>
          <w:rFonts w:ascii="Arial" w:cs="Arial" w:eastAsia="Arial" w:hAnsi="Arial"/>
          <w:sz w:val="16"/>
          <w:szCs w:val="16"/>
          <w:color w:val="auto"/>
        </w:rPr>
      </w:pPr>
    </w:p>
    <w:p>
      <w:pPr>
        <w:jc w:val="both"/>
        <w:ind w:left="1300" w:right="140" w:hanging="320"/>
        <w:spacing w:after="0" w:line="260" w:lineRule="auto"/>
        <w:tabs>
          <w:tab w:leader="none" w:pos="1313"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300" w:hanging="320"/>
        <w:spacing w:after="0" w:line="253" w:lineRule="auto"/>
        <w:tabs>
          <w:tab w:leader="none" w:pos="130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300" w:right="600" w:hanging="320"/>
        <w:spacing w:after="0" w:line="260" w:lineRule="auto"/>
        <w:tabs>
          <w:tab w:leader="none" w:pos="1322"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300" w:right="260" w:hanging="320"/>
        <w:spacing w:after="0" w:line="260" w:lineRule="auto"/>
        <w:tabs>
          <w:tab w:leader="none" w:pos="1309"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10795</wp:posOffset>
            </wp:positionV>
            <wp:extent cx="2802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9"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Stephen J. Barnard</w:t>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President, Chief Executive Officer and Director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Date: June 10, 2021</w:t>
      </w:r>
    </w:p>
    <w:p>
      <w:pPr>
        <w:sectPr>
          <w:pgSz w:w="11900" w:h="16838" w:orient="portrait"/>
          <w:cols w:equalWidth="0" w:num="1">
            <w:col w:w="11220"/>
          </w:cols>
          <w:pgMar w:left="320" w:top="1440" w:right="359" w:bottom="1440" w:gutter="0" w:footer="0" w:header="0"/>
        </w:sectPr>
      </w:pPr>
    </w:p>
    <w:bookmarkStart w:id="27" w:name="page28"/>
    <w:bookmarkEnd w:id="27"/>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CERTIFICATION OF CHIEF FINANCIAL OFFICER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PURSUANT TO SECTION 302 OF THE SARBANES-OXLEY ACT OF 2002</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 Bryan E. Giles, certify that:</w:t>
      </w:r>
    </w:p>
    <w:p>
      <w:pPr>
        <w:spacing w:after="0" w:line="22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Mission Produce, Inc.;</w:t>
      </w:r>
    </w:p>
    <w:p>
      <w:pPr>
        <w:spacing w:after="0" w:line="221" w:lineRule="exact"/>
        <w:rPr>
          <w:rFonts w:ascii="Arial" w:cs="Arial" w:eastAsia="Arial" w:hAnsi="Arial"/>
          <w:sz w:val="16"/>
          <w:szCs w:val="16"/>
          <w:color w:val="auto"/>
        </w:rPr>
      </w:pPr>
    </w:p>
    <w:p>
      <w:pPr>
        <w:jc w:val="both"/>
        <w:ind w:left="660" w:right="100" w:hanging="328"/>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20" w:hanging="328"/>
        <w:spacing w:after="0" w:line="260"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jc w:val="both"/>
        <w:ind w:left="660" w:right="220" w:hanging="328"/>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1300" w:right="220" w:hanging="320"/>
        <w:spacing w:after="0" w:line="253" w:lineRule="auto"/>
        <w:tabs>
          <w:tab w:leader="none" w:pos="1322"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320" w:hanging="340"/>
        <w:spacing w:after="0"/>
        <w:tabs>
          <w:tab w:leader="none" w:pos="13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 13a-14(a)];</w:t>
      </w:r>
    </w:p>
    <w:p>
      <w:pPr>
        <w:spacing w:after="0" w:line="221" w:lineRule="exact"/>
        <w:rPr>
          <w:rFonts w:ascii="Arial" w:cs="Arial" w:eastAsia="Arial" w:hAnsi="Arial"/>
          <w:sz w:val="16"/>
          <w:szCs w:val="16"/>
          <w:color w:val="auto"/>
        </w:rPr>
      </w:pPr>
    </w:p>
    <w:p>
      <w:pPr>
        <w:jc w:val="both"/>
        <w:ind w:left="1300" w:right="140" w:hanging="320"/>
        <w:spacing w:after="0" w:line="260" w:lineRule="auto"/>
        <w:tabs>
          <w:tab w:leader="none" w:pos="1313"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300" w:hanging="320"/>
        <w:spacing w:after="0" w:line="253" w:lineRule="auto"/>
        <w:tabs>
          <w:tab w:leader="none" w:pos="1309"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300" w:right="600" w:hanging="320"/>
        <w:spacing w:after="0" w:line="260" w:lineRule="auto"/>
        <w:tabs>
          <w:tab w:leader="none" w:pos="1322"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300" w:right="260" w:hanging="320"/>
        <w:spacing w:after="0" w:line="260" w:lineRule="auto"/>
        <w:tabs>
          <w:tab w:leader="none" w:pos="1309"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jc w:val="center"/>
        <w:ind w:left="6800"/>
        <w:spacing w:after="0"/>
        <w:rPr>
          <w:sz w:val="20"/>
          <w:szCs w:val="20"/>
          <w:color w:val="auto"/>
        </w:rPr>
      </w:pPr>
      <w:r>
        <w:rPr>
          <w:rFonts w:ascii="Arial" w:cs="Arial" w:eastAsia="Arial" w:hAnsi="Arial"/>
          <w:sz w:val="16"/>
          <w:szCs w:val="16"/>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10795</wp:posOffset>
            </wp:positionV>
            <wp:extent cx="2802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9" w:lineRule="exact"/>
        <w:rPr>
          <w:sz w:val="20"/>
          <w:szCs w:val="20"/>
          <w:color w:val="auto"/>
        </w:rPr>
      </w:pPr>
    </w:p>
    <w:p>
      <w:pPr>
        <w:jc w:val="center"/>
        <w:ind w:left="6800"/>
        <w:spacing w:after="0"/>
        <w:rPr>
          <w:sz w:val="20"/>
          <w:szCs w:val="20"/>
          <w:color w:val="auto"/>
        </w:rPr>
      </w:pPr>
      <w:r>
        <w:rPr>
          <w:rFonts w:ascii="Arial" w:cs="Arial" w:eastAsia="Arial" w:hAnsi="Arial"/>
          <w:sz w:val="16"/>
          <w:szCs w:val="16"/>
          <w:color w:val="auto"/>
        </w:rPr>
        <w:t>Bryan E. Giles</w:t>
      </w:r>
    </w:p>
    <w:p>
      <w:pPr>
        <w:spacing w:after="0" w:line="43" w:lineRule="exact"/>
        <w:rPr>
          <w:sz w:val="20"/>
          <w:szCs w:val="20"/>
          <w:color w:val="auto"/>
        </w:rPr>
      </w:pPr>
    </w:p>
    <w:p>
      <w:pPr>
        <w:jc w:val="center"/>
        <w:ind w:left="6800"/>
        <w:spacing w:after="0"/>
        <w:rPr>
          <w:sz w:val="20"/>
          <w:szCs w:val="20"/>
          <w:color w:val="auto"/>
        </w:rPr>
      </w:pPr>
      <w:r>
        <w:rPr>
          <w:rFonts w:ascii="Arial" w:cs="Arial" w:eastAsia="Arial" w:hAnsi="Arial"/>
          <w:sz w:val="16"/>
          <w:szCs w:val="16"/>
          <w:i w:val="1"/>
          <w:iCs w:val="1"/>
          <w:color w:val="auto"/>
        </w:rPr>
        <w:t>Chief Financial Officer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 June 10, 2021</w:t>
      </w:r>
    </w:p>
    <w:p>
      <w:pPr>
        <w:sectPr>
          <w:pgSz w:w="11900" w:h="16838" w:orient="portrait"/>
          <w:cols w:equalWidth="0" w:num="1">
            <w:col w:w="11220"/>
          </w:cols>
          <w:pgMar w:left="320" w:top="1440" w:right="359" w:bottom="1440" w:gutter="0" w:footer="0" w:header="0"/>
        </w:sectPr>
      </w:pPr>
    </w:p>
    <w:bookmarkStart w:id="28" w:name="page29"/>
    <w:bookmarkEnd w:id="28"/>
    <w:p>
      <w:pPr>
        <w:spacing w:after="0" w:line="60"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232F84"/>
        </w:rPr>
        <w:t>CERTIFICATION OF CHIEF EXECUTIVE OFFICER</w:t>
      </w:r>
    </w:p>
    <w:p>
      <w:pPr>
        <w:spacing w:after="0" w:line="91"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232F84"/>
        </w:rPr>
        <w:t>PURSUANT TO SECTION 906 OF THE SARBANES-OXLEY ACT OF 2002</w:t>
      </w:r>
    </w:p>
    <w:p>
      <w:pPr>
        <w:spacing w:after="0" w:line="25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Mission Produce, Inc. (the “Company”) hereby certifies, to the best of his knowledge, that:</w:t>
      </w:r>
    </w:p>
    <w:p>
      <w:pPr>
        <w:spacing w:after="0" w:line="195" w:lineRule="exact"/>
        <w:rPr>
          <w:sz w:val="20"/>
          <w:szCs w:val="20"/>
          <w:color w:val="auto"/>
        </w:rPr>
      </w:pPr>
    </w:p>
    <w:p>
      <w:pPr>
        <w:ind w:left="660" w:right="120" w:hanging="328"/>
        <w:spacing w:after="0" w:line="260" w:lineRule="auto"/>
        <w:tabs>
          <w:tab w:leader="none" w:pos="6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April 30, 2021 (the “Report”) fully complies with the requirements of Section 13(a) or Section 15(d), as applicable, of the Securities Exchange Act of 1934, as amended; and</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10795</wp:posOffset>
            </wp:positionV>
            <wp:extent cx="2802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9"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Stephen J. Barnard</w:t>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President, Chief Executive Officer and Director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Date: June 10, 2021</w:t>
      </w:r>
    </w:p>
    <w:p>
      <w:pPr>
        <w:sectPr>
          <w:pgSz w:w="11900" w:h="16838" w:orient="portrait"/>
          <w:cols w:equalWidth="0" w:num="1">
            <w:col w:w="10900"/>
          </w:cols>
          <w:pgMar w:left="320" w:top="1440" w:right="679" w:bottom="1440" w:gutter="0" w:footer="0" w:header="0"/>
        </w:sectPr>
      </w:pPr>
    </w:p>
    <w:bookmarkStart w:id="29" w:name="page30"/>
    <w:bookmarkEnd w:id="29"/>
    <w:p>
      <w:pPr>
        <w:spacing w:after="0" w:line="60"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232F84"/>
        </w:rPr>
        <w:t>CERTIFICATION OF CHIEF FINANCIAL OFFICER</w:t>
      </w:r>
    </w:p>
    <w:p>
      <w:pPr>
        <w:spacing w:after="0" w:line="91"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232F84"/>
        </w:rPr>
        <w:t>PURSUANT TO SECTION 906 OF THE SARBANES-OXLEY ACT OF 2002</w:t>
      </w:r>
    </w:p>
    <w:p>
      <w:pPr>
        <w:spacing w:after="0" w:line="25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Mission Produce, Inc. (the “Company”) hereby certifies, to the best of his knowledge, that:</w:t>
      </w:r>
    </w:p>
    <w:p>
      <w:pPr>
        <w:spacing w:after="0" w:line="195" w:lineRule="exact"/>
        <w:rPr>
          <w:sz w:val="20"/>
          <w:szCs w:val="20"/>
          <w:color w:val="auto"/>
        </w:rPr>
      </w:pPr>
    </w:p>
    <w:p>
      <w:pPr>
        <w:ind w:left="660" w:right="120" w:hanging="328"/>
        <w:spacing w:after="0" w:line="260" w:lineRule="auto"/>
        <w:tabs>
          <w:tab w:leader="none" w:pos="66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April 30, 2021 (the “Report”) fully complies with the requirements of Section 13(a) or Section 15(d), as applicable, of the Securities Exchange Act of 1934, as amended; and</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jc w:val="center"/>
        <w:ind w:left="6820"/>
        <w:spacing w:after="0"/>
        <w:rPr>
          <w:sz w:val="20"/>
          <w:szCs w:val="20"/>
          <w:color w:val="auto"/>
        </w:rPr>
      </w:pPr>
      <w:r>
        <w:rPr>
          <w:rFonts w:ascii="Arial" w:cs="Arial" w:eastAsia="Arial" w:hAnsi="Arial"/>
          <w:sz w:val="16"/>
          <w:szCs w:val="16"/>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10795</wp:posOffset>
            </wp:positionV>
            <wp:extent cx="2802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9" w:lineRule="exact"/>
        <w:rPr>
          <w:sz w:val="20"/>
          <w:szCs w:val="20"/>
          <w:color w:val="auto"/>
        </w:rPr>
      </w:pPr>
    </w:p>
    <w:p>
      <w:pPr>
        <w:jc w:val="center"/>
        <w:ind w:left="6800"/>
        <w:spacing w:after="0"/>
        <w:rPr>
          <w:sz w:val="20"/>
          <w:szCs w:val="20"/>
          <w:color w:val="auto"/>
        </w:rPr>
      </w:pPr>
      <w:r>
        <w:rPr>
          <w:rFonts w:ascii="Arial" w:cs="Arial" w:eastAsia="Arial" w:hAnsi="Arial"/>
          <w:sz w:val="16"/>
          <w:szCs w:val="16"/>
          <w:color w:val="auto"/>
        </w:rPr>
        <w:t>Bryan E. Giles</w:t>
      </w:r>
    </w:p>
    <w:p>
      <w:pPr>
        <w:spacing w:after="0" w:line="43" w:lineRule="exact"/>
        <w:rPr>
          <w:sz w:val="20"/>
          <w:szCs w:val="20"/>
          <w:color w:val="auto"/>
        </w:rPr>
      </w:pPr>
    </w:p>
    <w:p>
      <w:pPr>
        <w:jc w:val="center"/>
        <w:ind w:left="6800"/>
        <w:spacing w:after="0"/>
        <w:rPr>
          <w:sz w:val="20"/>
          <w:szCs w:val="20"/>
          <w:color w:val="auto"/>
        </w:rPr>
      </w:pPr>
      <w:r>
        <w:rPr>
          <w:rFonts w:ascii="Arial" w:cs="Arial" w:eastAsia="Arial" w:hAnsi="Arial"/>
          <w:sz w:val="16"/>
          <w:szCs w:val="16"/>
          <w:i w:val="1"/>
          <w:iCs w:val="1"/>
          <w:color w:val="auto"/>
        </w:rPr>
        <w:t>Chief Financial Officer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 June 10, 2021</w:t>
      </w:r>
    </w:p>
    <w:sectPr>
      <w:pgSz w:w="11900" w:h="16838" w:orient="portrait"/>
      <w:cols w:equalWidth="0" w:num="1">
        <w:col w:w="10900"/>
      </w:cols>
      <w:pgMar w:left="320" w:top="144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0"/>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4" Type="http://schemas.openxmlformats.org/officeDocument/2006/relationships/hyperlink" Target="https://www.sec.gov/Archives/edgar/data/1802974/000119312520265099/d32849dex31.htm" TargetMode="External"/><Relationship Id="rId15"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2021-06-10T16:18:51Z</dcterms:created>
  <dcterms:modified xsi:type="dcterms:W3CDTF">2021-06-10T16:18:51Z</dcterms:modified>
</cp:coreProperties>
</file>